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7D541" w14:textId="271A8283" w:rsidR="00E87D50" w:rsidRPr="00B40537" w:rsidRDefault="00C1666F">
      <w:pPr>
        <w:rPr>
          <w:rFonts w:asciiTheme="majorHAnsi" w:hAnsiTheme="majorHAnsi" w:cstheme="majorHAnsi"/>
        </w:rPr>
      </w:pPr>
      <w:r w:rsidRPr="00B40537">
        <w:rPr>
          <w:rFonts w:asciiTheme="majorHAnsi" w:hAnsiTheme="majorHAnsi" w:cstheme="majorHAnsi"/>
          <w:noProof/>
          <w:lang w:val="en-GB" w:eastAsia="en-GB"/>
        </w:rPr>
        <mc:AlternateContent>
          <mc:Choice Requires="wps">
            <w:drawing>
              <wp:anchor distT="0" distB="0" distL="0" distR="6350" simplePos="0" relativeHeight="14" behindDoc="0" locked="0" layoutInCell="0" allowOverlap="1" wp14:anchorId="6141797E" wp14:editId="0F8F5576">
                <wp:simplePos x="0" y="0"/>
                <wp:positionH relativeFrom="margin">
                  <wp:align>center</wp:align>
                </wp:positionH>
                <wp:positionV relativeFrom="paragraph">
                  <wp:posOffset>-77091</wp:posOffset>
                </wp:positionV>
                <wp:extent cx="5514975" cy="1533478"/>
                <wp:effectExtent l="0" t="0" r="9525" b="0"/>
                <wp:wrapNone/>
                <wp:docPr id="2" name="Text Box 1"/>
                <wp:cNvGraphicFramePr/>
                <a:graphic xmlns:a="http://schemas.openxmlformats.org/drawingml/2006/main">
                  <a:graphicData uri="http://schemas.microsoft.com/office/word/2010/wordprocessingShape">
                    <wps:wsp>
                      <wps:cNvSpPr/>
                      <wps:spPr>
                        <a:xfrm>
                          <a:off x="0" y="0"/>
                          <a:ext cx="5514975" cy="1533478"/>
                        </a:xfrm>
                        <a:prstGeom prst="rect">
                          <a:avLst/>
                        </a:prstGeom>
                        <a:solidFill>
                          <a:srgbClr val="FFFFFF"/>
                        </a:solidFill>
                        <a:ln w="0">
                          <a:noFill/>
                        </a:ln>
                        <a:effectLst>
                          <a:softEdge rad="63500"/>
                        </a:effectLst>
                      </wps:spPr>
                      <wps:style>
                        <a:lnRef idx="0">
                          <a:scrgbClr r="0" g="0" b="0"/>
                        </a:lnRef>
                        <a:fillRef idx="0">
                          <a:scrgbClr r="0" g="0" b="0"/>
                        </a:fillRef>
                        <a:effectRef idx="0">
                          <a:scrgbClr r="0" g="0" b="0"/>
                        </a:effectRef>
                        <a:fontRef idx="minor"/>
                      </wps:style>
                      <wps:txbx>
                        <w:txbxContent>
                          <w:p w14:paraId="33FC186D" w14:textId="77777777" w:rsidR="00793817" w:rsidRDefault="00793817">
                            <w:pPr>
                              <w:pStyle w:val="Caption"/>
                              <w:jc w:val="center"/>
                              <w:rPr>
                                <w:color w:val="5F497A" w:themeColor="accent4" w:themeShade="BF"/>
                                <w:sz w:val="40"/>
                                <w:szCs w:val="40"/>
                              </w:rPr>
                            </w:pPr>
                            <w:r>
                              <w:rPr>
                                <w:noProof/>
                                <w:lang w:val="en-GB" w:eastAsia="en-GB"/>
                              </w:rPr>
                              <w:drawing>
                                <wp:inline distT="0" distB="0" distL="0" distR="0" wp14:anchorId="59146072" wp14:editId="7DC4D9BD">
                                  <wp:extent cx="3992880" cy="533400"/>
                                  <wp:effectExtent l="0" t="0" r="0" b="0"/>
                                  <wp:docPr id="32" name="Image2" descr="Purple letter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Purple letters on a black background&#10;&#10;AI-generated content may be incorrect."/>
                                          <pic:cNvPicPr>
                                            <a:picLocks noChangeAspect="1" noChangeArrowheads="1"/>
                                          </pic:cNvPicPr>
                                        </pic:nvPicPr>
                                        <pic:blipFill>
                                          <a:blip r:embed="rId8"/>
                                          <a:stretch>
                                            <a:fillRect/>
                                          </a:stretch>
                                        </pic:blipFill>
                                        <pic:spPr bwMode="auto">
                                          <a:xfrm>
                                            <a:off x="0" y="0"/>
                                            <a:ext cx="3992880" cy="533400"/>
                                          </a:xfrm>
                                          <a:prstGeom prst="rect">
                                            <a:avLst/>
                                          </a:prstGeom>
                                        </pic:spPr>
                                      </pic:pic>
                                    </a:graphicData>
                                  </a:graphic>
                                </wp:inline>
                              </w:drawing>
                            </w:r>
                          </w:p>
                          <w:p w14:paraId="6941EDEF" w14:textId="77777777" w:rsidR="00793817" w:rsidRDefault="00793817">
                            <w:pPr>
                              <w:pStyle w:val="Caption"/>
                              <w:jc w:val="center"/>
                              <w:rPr>
                                <w:color w:val="5F497A" w:themeColor="accent4" w:themeShade="BF"/>
                                <w:sz w:val="40"/>
                                <w:szCs w:val="40"/>
                              </w:rPr>
                            </w:pPr>
                            <w:r>
                              <w:rPr>
                                <w:color w:val="5F497A" w:themeColor="accent4" w:themeShade="BF"/>
                                <w:sz w:val="40"/>
                                <w:szCs w:val="40"/>
                              </w:rPr>
                              <w:t>Annual Quality Account</w:t>
                            </w:r>
                          </w:p>
                          <w:p w14:paraId="2151E229" w14:textId="77777777" w:rsidR="00793817" w:rsidRDefault="00793817">
                            <w:pPr>
                              <w:pStyle w:val="Caption"/>
                              <w:jc w:val="center"/>
                              <w:rPr>
                                <w:color w:val="5F497A" w:themeColor="accent4" w:themeShade="BF"/>
                                <w:sz w:val="40"/>
                                <w:szCs w:val="40"/>
                              </w:rPr>
                            </w:pPr>
                            <w:r>
                              <w:rPr>
                                <w:color w:val="5F497A" w:themeColor="accent4" w:themeShade="BF"/>
                                <w:sz w:val="40"/>
                                <w:szCs w:val="40"/>
                              </w:rPr>
                              <w:t>2024 - 2025</w:t>
                            </w:r>
                          </w:p>
                        </w:txbxContent>
                      </wps:txbx>
                      <wps:bodyPr lIns="0" tIns="0" rIns="0" bIns="0" anchor="t">
                        <a:prstTxWarp prst="textNoShape">
                          <a:avLst/>
                        </a:prstTxWarp>
                        <a:noAutofit/>
                      </wps:bodyPr>
                    </wps:wsp>
                  </a:graphicData>
                </a:graphic>
                <wp14:sizeRelV relativeFrom="margin">
                  <wp14:pctHeight>0</wp14:pctHeight>
                </wp14:sizeRelV>
              </wp:anchor>
            </w:drawing>
          </mc:Choice>
          <mc:Fallback>
            <w:pict>
              <v:rect w14:anchorId="6141797E" id="Text Box 1" o:spid="_x0000_s1026" style="position:absolute;margin-left:0;margin-top:-6.05pt;width:434.25pt;height:120.75pt;z-index:14;visibility:visible;mso-wrap-style:square;mso-height-percent:0;mso-wrap-distance-left:0;mso-wrap-distance-top:0;mso-wrap-distance-right:.5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" o:allowincell="f" stroked="f" strokeweight="0">
                <v:textbox inset="0,0,0,0">
                  <w:txbxContent>
                    <w:p w14:paraId="33FC186D" w14:textId="77777777" w:rsidR="00793817" w:rsidRDefault="00793817">
                      <w:pPr>
                        <w:pStyle w:val="Caption"/>
                        <w:jc w:val="center"/>
                        <w:rPr>
                          <w:color w:val="5F497A" w:themeColor="accent4" w:themeShade="BF"/>
                          <w:sz w:val="40"/>
                          <w:szCs w:val="40"/>
                        </w:rPr>
                      </w:pPr>
                      <w:r>
                        <w:rPr>
                          <w:noProof/>
                          <w:lang w:val="en-GB" w:eastAsia="en-GB"/>
                        </w:rPr>
                        <w:drawing>
                          <wp:inline distT="0" distB="0" distL="0" distR="0" wp14:anchorId="59146072" wp14:editId="7DC4D9BD">
                            <wp:extent cx="3992880" cy="533400"/>
                            <wp:effectExtent l="0" t="0" r="0" b="0"/>
                            <wp:docPr id="32" name="Image2" descr="Purple letter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 descr="Purple letters on a black background&#10;&#10;AI-generated content may be incorrect."/>
                                    <pic:cNvPicPr>
                                      <a:picLocks noChangeAspect="1" noChangeArrowheads="1"/>
                                    </pic:cNvPicPr>
                                  </pic:nvPicPr>
                                  <pic:blipFill>
                                    <a:blip r:embed="rId9"/>
                                    <a:stretch>
                                      <a:fillRect/>
                                    </a:stretch>
                                  </pic:blipFill>
                                  <pic:spPr bwMode="auto">
                                    <a:xfrm>
                                      <a:off x="0" y="0"/>
                                      <a:ext cx="3992880" cy="533400"/>
                                    </a:xfrm>
                                    <a:prstGeom prst="rect">
                                      <a:avLst/>
                                    </a:prstGeom>
                                  </pic:spPr>
                                </pic:pic>
                              </a:graphicData>
                            </a:graphic>
                          </wp:inline>
                        </w:drawing>
                      </w:r>
                    </w:p>
                    <w:p w14:paraId="6941EDEF" w14:textId="77777777" w:rsidR="00793817" w:rsidRDefault="00793817">
                      <w:pPr>
                        <w:pStyle w:val="Caption"/>
                        <w:jc w:val="center"/>
                        <w:rPr>
                          <w:color w:val="5F497A" w:themeColor="accent4" w:themeShade="BF"/>
                          <w:sz w:val="40"/>
                          <w:szCs w:val="40"/>
                        </w:rPr>
                      </w:pPr>
                      <w:r>
                        <w:rPr>
                          <w:color w:val="5F497A" w:themeColor="accent4" w:themeShade="BF"/>
                          <w:sz w:val="40"/>
                          <w:szCs w:val="40"/>
                        </w:rPr>
                        <w:t>Annual Quality Account</w:t>
                      </w:r>
                    </w:p>
                    <w:p w14:paraId="2151E229" w14:textId="77777777" w:rsidR="00793817" w:rsidRDefault="00793817">
                      <w:pPr>
                        <w:pStyle w:val="Caption"/>
                        <w:jc w:val="center"/>
                        <w:rPr>
                          <w:color w:val="5F497A" w:themeColor="accent4" w:themeShade="BF"/>
                          <w:sz w:val="40"/>
                          <w:szCs w:val="40"/>
                        </w:rPr>
                      </w:pPr>
                      <w:r>
                        <w:rPr>
                          <w:color w:val="5F497A" w:themeColor="accent4" w:themeShade="BF"/>
                          <w:sz w:val="40"/>
                          <w:szCs w:val="40"/>
                        </w:rPr>
                        <w:t>2024 - 2025</w:t>
                      </w:r>
                    </w:p>
                  </w:txbxContent>
                </v:textbox>
                <w10:wrap anchorx="margin"/>
              </v:rect>
            </w:pict>
          </mc:Fallback>
        </mc:AlternateContent>
      </w:r>
      <w:r w:rsidR="00B603D6" w:rsidRPr="00B40537">
        <w:rPr>
          <w:rFonts w:asciiTheme="majorHAnsi" w:hAnsiTheme="majorHAnsi" w:cstheme="majorHAnsi"/>
          <w:noProof/>
          <w:lang w:val="en-GB" w:eastAsia="en-GB"/>
        </w:rPr>
        <w:drawing>
          <wp:anchor distT="0" distB="0" distL="0" distR="0" simplePos="0" relativeHeight="13" behindDoc="0" locked="0" layoutInCell="0" allowOverlap="1" wp14:anchorId="2899C2C5" wp14:editId="277698CB">
            <wp:simplePos x="0" y="0"/>
            <wp:positionH relativeFrom="margin">
              <wp:align>center</wp:align>
            </wp:positionH>
            <wp:positionV relativeFrom="margin">
              <wp:align>center</wp:align>
            </wp:positionV>
            <wp:extent cx="7030493" cy="8762337"/>
            <wp:effectExtent l="0" t="0" r="0" b="1270"/>
            <wp:wrapNone/>
            <wp:docPr id="1" name="Picture 1" descr="A building with a circular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uilding with a circular roof&#10;&#10;AI-generated content may be incorrect."/>
                    <pic:cNvPicPr>
                      <a:picLocks noChangeAspect="1" noChangeArrowheads="1"/>
                    </pic:cNvPicPr>
                  </pic:nvPicPr>
                  <pic:blipFill>
                    <a:blip r:embed="rId10"/>
                    <a:stretch>
                      <a:fillRect/>
                    </a:stretch>
                  </pic:blipFill>
                  <pic:spPr bwMode="auto">
                    <a:xfrm>
                      <a:off x="0" y="0"/>
                      <a:ext cx="7030493" cy="8762337"/>
                    </a:xfrm>
                    <a:prstGeom prst="rect">
                      <a:avLst/>
                    </a:prstGeom>
                  </pic:spPr>
                </pic:pic>
              </a:graphicData>
            </a:graphic>
            <wp14:sizeRelV relativeFrom="margin">
              <wp14:pctHeight>0</wp14:pctHeight>
            </wp14:sizeRelV>
          </wp:anchor>
        </w:drawing>
      </w:r>
    </w:p>
    <w:p w14:paraId="494D1B72" w14:textId="77777777" w:rsidR="00E87D50" w:rsidRPr="00B40537" w:rsidRDefault="00E87D50">
      <w:pPr>
        <w:rPr>
          <w:rFonts w:asciiTheme="majorHAnsi" w:hAnsiTheme="majorHAnsi" w:cstheme="majorHAnsi"/>
          <w:color w:val="EE0000"/>
        </w:rPr>
      </w:pPr>
    </w:p>
    <w:p w14:paraId="2E22AF92" w14:textId="77777777" w:rsidR="00E87D50" w:rsidRPr="00B40537" w:rsidRDefault="00E87D50">
      <w:pPr>
        <w:rPr>
          <w:rFonts w:asciiTheme="majorHAnsi" w:hAnsiTheme="majorHAnsi" w:cstheme="majorHAnsi"/>
          <w:color w:val="EE0000"/>
        </w:rPr>
      </w:pPr>
    </w:p>
    <w:p w14:paraId="03B62EA3" w14:textId="77777777" w:rsidR="00E87D50" w:rsidRPr="00B40537" w:rsidRDefault="00E87D50">
      <w:pPr>
        <w:rPr>
          <w:rFonts w:asciiTheme="majorHAnsi" w:hAnsiTheme="majorHAnsi" w:cstheme="majorHAnsi"/>
          <w:color w:val="EE0000"/>
        </w:rPr>
      </w:pPr>
    </w:p>
    <w:p w14:paraId="7F27D856" w14:textId="77777777" w:rsidR="00E87D50" w:rsidRPr="00B40537" w:rsidRDefault="00E87D50">
      <w:pPr>
        <w:rPr>
          <w:rFonts w:asciiTheme="majorHAnsi" w:hAnsiTheme="majorHAnsi" w:cstheme="majorHAnsi"/>
          <w:color w:val="EE0000"/>
        </w:rPr>
      </w:pPr>
    </w:p>
    <w:p w14:paraId="36A35321" w14:textId="77777777" w:rsidR="00E87D50" w:rsidRPr="00B40537" w:rsidRDefault="00E87D50">
      <w:pPr>
        <w:rPr>
          <w:rFonts w:asciiTheme="majorHAnsi" w:hAnsiTheme="majorHAnsi" w:cstheme="majorHAnsi"/>
          <w:color w:val="EE0000"/>
        </w:rPr>
      </w:pPr>
    </w:p>
    <w:p w14:paraId="32B8E471" w14:textId="77777777" w:rsidR="00E87D50" w:rsidRPr="00B40537" w:rsidRDefault="00E87D50">
      <w:pPr>
        <w:rPr>
          <w:rFonts w:asciiTheme="majorHAnsi" w:hAnsiTheme="majorHAnsi" w:cstheme="majorHAnsi"/>
          <w:color w:val="EE0000"/>
        </w:rPr>
      </w:pPr>
    </w:p>
    <w:p w14:paraId="7A209984" w14:textId="77777777" w:rsidR="00E87D50" w:rsidRPr="00B40537" w:rsidRDefault="00E87D50">
      <w:pPr>
        <w:rPr>
          <w:rFonts w:asciiTheme="majorHAnsi" w:hAnsiTheme="majorHAnsi" w:cstheme="majorHAnsi"/>
          <w:color w:val="EE0000"/>
        </w:rPr>
      </w:pPr>
    </w:p>
    <w:p w14:paraId="4FAE4E52" w14:textId="77777777" w:rsidR="00E87D50" w:rsidRPr="00B40537" w:rsidRDefault="00E87D50">
      <w:pPr>
        <w:rPr>
          <w:rFonts w:asciiTheme="majorHAnsi" w:hAnsiTheme="majorHAnsi" w:cstheme="majorHAnsi"/>
          <w:color w:val="EE0000"/>
        </w:rPr>
      </w:pPr>
    </w:p>
    <w:p w14:paraId="6CFF72E2" w14:textId="77777777" w:rsidR="00E87D50" w:rsidRPr="00B40537" w:rsidRDefault="00E87D50">
      <w:pPr>
        <w:rPr>
          <w:rFonts w:asciiTheme="majorHAnsi" w:hAnsiTheme="majorHAnsi" w:cstheme="majorHAnsi"/>
          <w:color w:val="EE0000"/>
        </w:rPr>
      </w:pPr>
    </w:p>
    <w:p w14:paraId="1EE732CD" w14:textId="77777777" w:rsidR="00E87D50" w:rsidRPr="00B40537" w:rsidRDefault="00E87D50">
      <w:pPr>
        <w:rPr>
          <w:rFonts w:asciiTheme="majorHAnsi" w:hAnsiTheme="majorHAnsi" w:cstheme="majorHAnsi"/>
          <w:color w:val="EE0000"/>
        </w:rPr>
      </w:pPr>
    </w:p>
    <w:p w14:paraId="2694AF20" w14:textId="77777777" w:rsidR="00E87D50" w:rsidRPr="00B40537" w:rsidRDefault="00E87D50">
      <w:pPr>
        <w:rPr>
          <w:rFonts w:asciiTheme="majorHAnsi" w:hAnsiTheme="majorHAnsi" w:cstheme="majorHAnsi"/>
          <w:color w:val="EE0000"/>
        </w:rPr>
      </w:pPr>
    </w:p>
    <w:p w14:paraId="310F317F" w14:textId="77777777" w:rsidR="00E87D50" w:rsidRPr="00B40537" w:rsidRDefault="00E87D50">
      <w:pPr>
        <w:rPr>
          <w:rFonts w:asciiTheme="majorHAnsi" w:hAnsiTheme="majorHAnsi" w:cstheme="majorHAnsi"/>
          <w:color w:val="EE0000"/>
        </w:rPr>
      </w:pPr>
    </w:p>
    <w:p w14:paraId="2EEAAAEE" w14:textId="77777777" w:rsidR="00E87D50" w:rsidRPr="00B40537" w:rsidRDefault="00E87D50">
      <w:pPr>
        <w:rPr>
          <w:rFonts w:asciiTheme="majorHAnsi" w:hAnsiTheme="majorHAnsi" w:cstheme="majorHAnsi"/>
          <w:color w:val="EE0000"/>
        </w:rPr>
      </w:pPr>
    </w:p>
    <w:p w14:paraId="7BAC4579" w14:textId="77777777" w:rsidR="00E87D50" w:rsidRPr="00B40537" w:rsidRDefault="00E87D50">
      <w:pPr>
        <w:rPr>
          <w:rFonts w:asciiTheme="majorHAnsi" w:hAnsiTheme="majorHAnsi" w:cstheme="majorHAnsi"/>
          <w:color w:val="EE0000"/>
        </w:rPr>
      </w:pPr>
    </w:p>
    <w:p w14:paraId="1AF22B12" w14:textId="77777777" w:rsidR="00E87D50" w:rsidRPr="00B40537" w:rsidRDefault="00E87D50">
      <w:pPr>
        <w:rPr>
          <w:rFonts w:asciiTheme="majorHAnsi" w:hAnsiTheme="majorHAnsi" w:cstheme="majorHAnsi"/>
          <w:color w:val="EE0000"/>
        </w:rPr>
      </w:pPr>
    </w:p>
    <w:p w14:paraId="576B0B9B" w14:textId="77777777" w:rsidR="00E87D50" w:rsidRPr="00B40537" w:rsidRDefault="00E87D50">
      <w:pPr>
        <w:rPr>
          <w:rFonts w:asciiTheme="majorHAnsi" w:hAnsiTheme="majorHAnsi" w:cstheme="majorHAnsi"/>
          <w:color w:val="EE0000"/>
        </w:rPr>
      </w:pPr>
    </w:p>
    <w:p w14:paraId="40A930BF" w14:textId="77777777" w:rsidR="00E87D50" w:rsidRPr="00B40537" w:rsidRDefault="00E87D50">
      <w:pPr>
        <w:rPr>
          <w:rFonts w:asciiTheme="majorHAnsi" w:hAnsiTheme="majorHAnsi" w:cstheme="majorHAnsi"/>
          <w:color w:val="EE0000"/>
        </w:rPr>
      </w:pPr>
    </w:p>
    <w:p w14:paraId="35BFD765" w14:textId="77777777" w:rsidR="00E87D50" w:rsidRPr="00B40537" w:rsidRDefault="00E87D50">
      <w:pPr>
        <w:rPr>
          <w:rFonts w:asciiTheme="majorHAnsi" w:hAnsiTheme="majorHAnsi" w:cstheme="majorHAnsi"/>
          <w:color w:val="EE0000"/>
        </w:rPr>
      </w:pPr>
    </w:p>
    <w:p w14:paraId="1BB70686" w14:textId="77777777" w:rsidR="00E87D50" w:rsidRPr="00B40537" w:rsidRDefault="00E87D50">
      <w:pPr>
        <w:rPr>
          <w:rFonts w:asciiTheme="majorHAnsi" w:hAnsiTheme="majorHAnsi" w:cstheme="majorHAnsi"/>
          <w:color w:val="EE0000"/>
        </w:rPr>
      </w:pPr>
    </w:p>
    <w:p w14:paraId="57820B6F" w14:textId="77777777" w:rsidR="00E87D50" w:rsidRPr="00B40537" w:rsidRDefault="00E87D50">
      <w:pPr>
        <w:rPr>
          <w:rFonts w:asciiTheme="majorHAnsi" w:hAnsiTheme="majorHAnsi" w:cstheme="majorHAnsi"/>
          <w:color w:val="EE0000"/>
        </w:rPr>
      </w:pPr>
    </w:p>
    <w:p w14:paraId="32FD897A" w14:textId="77777777" w:rsidR="00E87D50" w:rsidRPr="00B40537" w:rsidRDefault="00E87D50">
      <w:pPr>
        <w:rPr>
          <w:rFonts w:asciiTheme="majorHAnsi" w:hAnsiTheme="majorHAnsi" w:cstheme="majorHAnsi"/>
          <w:color w:val="EE0000"/>
        </w:rPr>
      </w:pPr>
    </w:p>
    <w:p w14:paraId="1A14718B" w14:textId="2E7967A2" w:rsidR="00E87D50" w:rsidRPr="00B40537" w:rsidRDefault="00E87D50">
      <w:pPr>
        <w:rPr>
          <w:rFonts w:asciiTheme="majorHAnsi" w:hAnsiTheme="majorHAnsi" w:cstheme="majorHAnsi"/>
          <w:color w:val="EE0000"/>
        </w:rPr>
      </w:pPr>
    </w:p>
    <w:p w14:paraId="1D549DE4" w14:textId="77777777" w:rsidR="00E87D50" w:rsidRPr="00B40537" w:rsidRDefault="00E87D50">
      <w:pPr>
        <w:rPr>
          <w:rFonts w:asciiTheme="majorHAnsi" w:hAnsiTheme="majorHAnsi" w:cstheme="majorHAnsi"/>
          <w:color w:val="EE0000"/>
        </w:rPr>
      </w:pPr>
    </w:p>
    <w:sdt>
      <w:sdtPr>
        <w:rPr>
          <w:rFonts w:asciiTheme="minorHAnsi" w:eastAsiaTheme="minorEastAsia" w:hAnsiTheme="minorHAnsi" w:cstheme="minorBidi"/>
          <w:b w:val="0"/>
          <w:bCs w:val="0"/>
          <w:color w:val="auto"/>
          <w:sz w:val="22"/>
          <w:szCs w:val="22"/>
        </w:rPr>
        <w:id w:val="-1518612952"/>
        <w:docPartObj>
          <w:docPartGallery w:val="Table of Contents"/>
          <w:docPartUnique/>
        </w:docPartObj>
      </w:sdtPr>
      <w:sdtEndPr>
        <w:rPr>
          <w:rFonts w:cstheme="majorHAnsi"/>
          <w:noProof/>
          <w:sz w:val="23"/>
          <w:szCs w:val="23"/>
        </w:rPr>
      </w:sdtEndPr>
      <w:sdtContent>
        <w:p w14:paraId="33DC13E5" w14:textId="0953E201" w:rsidR="0008128B" w:rsidRDefault="0008128B" w:rsidP="0008128B">
          <w:pPr>
            <w:pStyle w:val="TOCHeading"/>
            <w:jc w:val="center"/>
            <w:rPr>
              <w:color w:val="000000" w:themeColor="text1"/>
              <w:sz w:val="32"/>
              <w:u w:val="single"/>
            </w:rPr>
          </w:pPr>
          <w:r w:rsidRPr="005E13F1">
            <w:rPr>
              <w:rStyle w:val="MainLevelChar"/>
              <w:b/>
              <w:sz w:val="36"/>
            </w:rPr>
            <w:t>TABLE OF CONTENTS</w:t>
          </w:r>
        </w:p>
        <w:p w14:paraId="7211FBEE" w14:textId="77777777" w:rsidR="0008128B" w:rsidRPr="0008128B" w:rsidRDefault="0008128B" w:rsidP="0008128B"/>
        <w:p w14:paraId="5FA8A4D0" w14:textId="208C91B7" w:rsidR="0008128B" w:rsidRPr="0008128B" w:rsidRDefault="0008128B">
          <w:pPr>
            <w:pStyle w:val="TOC1"/>
            <w:tabs>
              <w:tab w:val="right" w:leader="dot" w:pos="10070"/>
            </w:tabs>
            <w:rPr>
              <w:rFonts w:asciiTheme="majorHAnsi" w:hAnsiTheme="majorHAnsi" w:cstheme="majorHAnsi"/>
              <w:noProof/>
              <w:color w:val="000000" w:themeColor="text1"/>
              <w:sz w:val="23"/>
              <w:szCs w:val="23"/>
              <w:lang w:val="en-GB" w:eastAsia="en-GB"/>
            </w:rPr>
          </w:pPr>
          <w:r w:rsidRPr="0008128B">
            <w:rPr>
              <w:rFonts w:asciiTheme="majorHAnsi" w:hAnsiTheme="majorHAnsi" w:cstheme="majorHAnsi"/>
              <w:sz w:val="23"/>
              <w:szCs w:val="23"/>
            </w:rPr>
            <w:fldChar w:fldCharType="begin"/>
          </w:r>
          <w:r w:rsidRPr="0008128B">
            <w:rPr>
              <w:rFonts w:asciiTheme="majorHAnsi" w:hAnsiTheme="majorHAnsi" w:cstheme="majorHAnsi"/>
              <w:sz w:val="23"/>
              <w:szCs w:val="23"/>
            </w:rPr>
            <w:instrText xml:space="preserve"> TOC \o "1-3" \h \z \u </w:instrText>
          </w:r>
          <w:r w:rsidRPr="0008128B">
            <w:rPr>
              <w:rFonts w:asciiTheme="majorHAnsi" w:hAnsiTheme="majorHAnsi" w:cstheme="majorHAnsi"/>
              <w:sz w:val="23"/>
              <w:szCs w:val="23"/>
            </w:rPr>
            <w:fldChar w:fldCharType="separate"/>
          </w:r>
          <w:hyperlink w:anchor="_Toc216792770" w:history="1">
            <w:r w:rsidRPr="0008128B">
              <w:rPr>
                <w:rStyle w:val="Hyperlink"/>
                <w:rFonts w:asciiTheme="majorHAnsi" w:hAnsiTheme="majorHAnsi" w:cstheme="majorHAnsi"/>
                <w:noProof/>
                <w:color w:val="000000" w:themeColor="text1"/>
                <w:sz w:val="23"/>
                <w:szCs w:val="23"/>
              </w:rPr>
              <w:t>Welcome to the Bury Hospice Quality Account for 2024/25</w:t>
            </w:r>
            <w:r w:rsidRPr="0008128B">
              <w:rPr>
                <w:rFonts w:asciiTheme="majorHAnsi" w:hAnsiTheme="majorHAnsi" w:cstheme="majorHAnsi"/>
                <w:noProof/>
                <w:webHidden/>
                <w:color w:val="000000" w:themeColor="text1"/>
                <w:sz w:val="23"/>
                <w:szCs w:val="23"/>
              </w:rPr>
              <w:tab/>
            </w:r>
            <w:r w:rsidRPr="0008128B">
              <w:rPr>
                <w:rFonts w:asciiTheme="majorHAnsi" w:hAnsiTheme="majorHAnsi" w:cstheme="majorHAnsi"/>
                <w:noProof/>
                <w:webHidden/>
                <w:color w:val="000000" w:themeColor="text1"/>
                <w:sz w:val="23"/>
                <w:szCs w:val="23"/>
              </w:rPr>
              <w:fldChar w:fldCharType="begin"/>
            </w:r>
            <w:r w:rsidRPr="0008128B">
              <w:rPr>
                <w:rFonts w:asciiTheme="majorHAnsi" w:hAnsiTheme="majorHAnsi" w:cstheme="majorHAnsi"/>
                <w:noProof/>
                <w:webHidden/>
                <w:color w:val="000000" w:themeColor="text1"/>
                <w:sz w:val="23"/>
                <w:szCs w:val="23"/>
              </w:rPr>
              <w:instrText xml:space="preserve"> PAGEREF _Toc216792770 \h </w:instrText>
            </w:r>
            <w:r w:rsidRPr="0008128B">
              <w:rPr>
                <w:rFonts w:asciiTheme="majorHAnsi" w:hAnsiTheme="majorHAnsi" w:cstheme="majorHAnsi"/>
                <w:noProof/>
                <w:webHidden/>
                <w:color w:val="000000" w:themeColor="text1"/>
                <w:sz w:val="23"/>
                <w:szCs w:val="23"/>
              </w:rPr>
            </w:r>
            <w:r w:rsidRPr="0008128B">
              <w:rPr>
                <w:rFonts w:asciiTheme="majorHAnsi" w:hAnsiTheme="majorHAnsi" w:cstheme="majorHAnsi"/>
                <w:noProof/>
                <w:webHidden/>
                <w:color w:val="000000" w:themeColor="text1"/>
                <w:sz w:val="23"/>
                <w:szCs w:val="23"/>
              </w:rPr>
              <w:fldChar w:fldCharType="separate"/>
            </w:r>
            <w:r w:rsidRPr="0008128B">
              <w:rPr>
                <w:rFonts w:asciiTheme="majorHAnsi" w:hAnsiTheme="majorHAnsi" w:cstheme="majorHAnsi"/>
                <w:noProof/>
                <w:webHidden/>
                <w:color w:val="000000" w:themeColor="text1"/>
                <w:sz w:val="23"/>
                <w:szCs w:val="23"/>
              </w:rPr>
              <w:t>4</w:t>
            </w:r>
            <w:r w:rsidRPr="0008128B">
              <w:rPr>
                <w:rFonts w:asciiTheme="majorHAnsi" w:hAnsiTheme="majorHAnsi" w:cstheme="majorHAnsi"/>
                <w:noProof/>
                <w:webHidden/>
                <w:color w:val="000000" w:themeColor="text1"/>
                <w:sz w:val="23"/>
                <w:szCs w:val="23"/>
              </w:rPr>
              <w:fldChar w:fldCharType="end"/>
            </w:r>
          </w:hyperlink>
        </w:p>
        <w:p w14:paraId="63C79C79" w14:textId="4A352611" w:rsidR="0008128B" w:rsidRPr="0008128B" w:rsidRDefault="00570D5D">
          <w:pPr>
            <w:pStyle w:val="TOC2"/>
            <w:tabs>
              <w:tab w:val="right" w:leader="dot" w:pos="10070"/>
            </w:tabs>
            <w:rPr>
              <w:rFonts w:asciiTheme="majorHAnsi" w:hAnsiTheme="majorHAnsi" w:cstheme="majorHAnsi"/>
              <w:noProof/>
              <w:color w:val="000000" w:themeColor="text1"/>
              <w:sz w:val="23"/>
              <w:szCs w:val="23"/>
              <w:lang w:val="en-GB" w:eastAsia="en-GB"/>
            </w:rPr>
          </w:pPr>
          <w:hyperlink w:anchor="_Toc216792771" w:history="1">
            <w:r w:rsidR="0008128B" w:rsidRPr="0008128B">
              <w:rPr>
                <w:rStyle w:val="Hyperlink"/>
                <w:rFonts w:asciiTheme="majorHAnsi" w:hAnsiTheme="majorHAnsi" w:cstheme="majorHAnsi"/>
                <w:noProof/>
                <w:color w:val="000000" w:themeColor="text1"/>
                <w:sz w:val="23"/>
                <w:szCs w:val="23"/>
              </w:rPr>
              <w:t>Our Mission</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_Toc216792771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4</w:t>
            </w:r>
            <w:r w:rsidR="0008128B" w:rsidRPr="0008128B">
              <w:rPr>
                <w:rFonts w:asciiTheme="majorHAnsi" w:hAnsiTheme="majorHAnsi" w:cstheme="majorHAnsi"/>
                <w:noProof/>
                <w:webHidden/>
                <w:color w:val="000000" w:themeColor="text1"/>
                <w:sz w:val="23"/>
                <w:szCs w:val="23"/>
              </w:rPr>
              <w:fldChar w:fldCharType="end"/>
            </w:r>
          </w:hyperlink>
        </w:p>
        <w:p w14:paraId="7BCAB0C9" w14:textId="06EE3A14" w:rsidR="0008128B" w:rsidRPr="0008128B" w:rsidRDefault="00570D5D">
          <w:pPr>
            <w:pStyle w:val="TOC2"/>
            <w:tabs>
              <w:tab w:val="right" w:leader="dot" w:pos="10070"/>
            </w:tabs>
            <w:rPr>
              <w:rFonts w:asciiTheme="majorHAnsi" w:hAnsiTheme="majorHAnsi" w:cstheme="majorHAnsi"/>
              <w:noProof/>
              <w:color w:val="000000" w:themeColor="text1"/>
              <w:sz w:val="23"/>
              <w:szCs w:val="23"/>
              <w:lang w:val="en-GB" w:eastAsia="en-GB"/>
            </w:rPr>
          </w:pPr>
          <w:hyperlink w:anchor="_Toc216792772" w:history="1">
            <w:r w:rsidR="0008128B" w:rsidRPr="0008128B">
              <w:rPr>
                <w:rStyle w:val="Hyperlink"/>
                <w:rFonts w:asciiTheme="majorHAnsi" w:hAnsiTheme="majorHAnsi" w:cstheme="majorHAnsi"/>
                <w:bCs/>
                <w:noProof/>
                <w:color w:val="000000" w:themeColor="text1"/>
                <w:sz w:val="23"/>
                <w:szCs w:val="23"/>
              </w:rPr>
              <w:t>Our Vision</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_Toc216792772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4</w:t>
            </w:r>
            <w:r w:rsidR="0008128B" w:rsidRPr="0008128B">
              <w:rPr>
                <w:rFonts w:asciiTheme="majorHAnsi" w:hAnsiTheme="majorHAnsi" w:cstheme="majorHAnsi"/>
                <w:noProof/>
                <w:webHidden/>
                <w:color w:val="000000" w:themeColor="text1"/>
                <w:sz w:val="23"/>
                <w:szCs w:val="23"/>
              </w:rPr>
              <w:fldChar w:fldCharType="end"/>
            </w:r>
          </w:hyperlink>
        </w:p>
        <w:p w14:paraId="29ECFF44" w14:textId="50A846D9" w:rsidR="0008128B" w:rsidRPr="0008128B" w:rsidRDefault="00570D5D">
          <w:pPr>
            <w:pStyle w:val="TOC1"/>
            <w:tabs>
              <w:tab w:val="right" w:leader="dot" w:pos="10070"/>
            </w:tabs>
            <w:rPr>
              <w:rFonts w:asciiTheme="majorHAnsi" w:hAnsiTheme="majorHAnsi" w:cstheme="majorHAnsi"/>
              <w:noProof/>
              <w:color w:val="000000" w:themeColor="text1"/>
              <w:sz w:val="23"/>
              <w:szCs w:val="23"/>
              <w:lang w:val="en-GB" w:eastAsia="en-GB"/>
            </w:rPr>
          </w:pPr>
          <w:hyperlink w:anchor="_Toc216792773" w:history="1">
            <w:r w:rsidR="0008128B" w:rsidRPr="0008128B">
              <w:rPr>
                <w:rStyle w:val="Hyperlink"/>
                <w:rFonts w:asciiTheme="majorHAnsi" w:hAnsiTheme="majorHAnsi" w:cstheme="majorHAnsi"/>
                <w:noProof/>
                <w:color w:val="000000" w:themeColor="text1"/>
                <w:sz w:val="23"/>
                <w:szCs w:val="23"/>
              </w:rPr>
              <w:t>Statement on Governance and Public Benefit – how we serve the population of Bury</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_Toc216792773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6</w:t>
            </w:r>
            <w:r w:rsidR="0008128B" w:rsidRPr="0008128B">
              <w:rPr>
                <w:rFonts w:asciiTheme="majorHAnsi" w:hAnsiTheme="majorHAnsi" w:cstheme="majorHAnsi"/>
                <w:noProof/>
                <w:webHidden/>
                <w:color w:val="000000" w:themeColor="text1"/>
                <w:sz w:val="23"/>
                <w:szCs w:val="23"/>
              </w:rPr>
              <w:fldChar w:fldCharType="end"/>
            </w:r>
          </w:hyperlink>
        </w:p>
        <w:p w14:paraId="04098B14" w14:textId="673D6872" w:rsidR="0008128B" w:rsidRPr="0008128B" w:rsidRDefault="00570D5D">
          <w:pPr>
            <w:pStyle w:val="TOC1"/>
            <w:tabs>
              <w:tab w:val="right" w:leader="dot" w:pos="10070"/>
            </w:tabs>
            <w:rPr>
              <w:rFonts w:asciiTheme="majorHAnsi" w:hAnsiTheme="majorHAnsi" w:cstheme="majorHAnsi"/>
              <w:noProof/>
              <w:color w:val="000000" w:themeColor="text1"/>
              <w:sz w:val="23"/>
              <w:szCs w:val="23"/>
              <w:lang w:val="en-GB" w:eastAsia="en-GB"/>
            </w:rPr>
          </w:pPr>
          <w:hyperlink w:anchor="_Toc216792774" w:history="1">
            <w:r w:rsidR="0008128B" w:rsidRPr="0008128B">
              <w:rPr>
                <w:rStyle w:val="Hyperlink"/>
                <w:rFonts w:asciiTheme="majorHAnsi" w:hAnsiTheme="majorHAnsi" w:cstheme="majorHAnsi"/>
                <w:noProof/>
                <w:color w:val="000000" w:themeColor="text1"/>
                <w:sz w:val="23"/>
                <w:szCs w:val="23"/>
              </w:rPr>
              <w:t>Our Strategic Ambition</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_Toc216792774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8</w:t>
            </w:r>
            <w:r w:rsidR="0008128B" w:rsidRPr="0008128B">
              <w:rPr>
                <w:rFonts w:asciiTheme="majorHAnsi" w:hAnsiTheme="majorHAnsi" w:cstheme="majorHAnsi"/>
                <w:noProof/>
                <w:webHidden/>
                <w:color w:val="000000" w:themeColor="text1"/>
                <w:sz w:val="23"/>
                <w:szCs w:val="23"/>
              </w:rPr>
              <w:fldChar w:fldCharType="end"/>
            </w:r>
          </w:hyperlink>
        </w:p>
        <w:p w14:paraId="7D293AA8" w14:textId="6396C977" w:rsidR="0008128B" w:rsidRPr="0008128B" w:rsidRDefault="00570D5D">
          <w:pPr>
            <w:pStyle w:val="TOC1"/>
            <w:tabs>
              <w:tab w:val="right" w:leader="dot" w:pos="10070"/>
            </w:tabs>
            <w:rPr>
              <w:rFonts w:asciiTheme="majorHAnsi" w:hAnsiTheme="majorHAnsi" w:cstheme="majorHAnsi"/>
              <w:noProof/>
              <w:color w:val="000000" w:themeColor="text1"/>
              <w:sz w:val="23"/>
              <w:szCs w:val="23"/>
              <w:lang w:val="en-GB" w:eastAsia="en-GB"/>
            </w:rPr>
          </w:pPr>
          <w:hyperlink w:anchor="_Toc216792775" w:history="1">
            <w:r w:rsidR="0008128B" w:rsidRPr="0008128B">
              <w:rPr>
                <w:rStyle w:val="Hyperlink"/>
                <w:rFonts w:asciiTheme="majorHAnsi" w:hAnsiTheme="majorHAnsi" w:cstheme="majorHAnsi"/>
                <w:noProof/>
                <w:color w:val="000000" w:themeColor="text1"/>
                <w:sz w:val="23"/>
                <w:szCs w:val="23"/>
              </w:rPr>
              <w:t>Quality Assurance</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_Toc216792775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8</w:t>
            </w:r>
            <w:r w:rsidR="0008128B" w:rsidRPr="0008128B">
              <w:rPr>
                <w:rFonts w:asciiTheme="majorHAnsi" w:hAnsiTheme="majorHAnsi" w:cstheme="majorHAnsi"/>
                <w:noProof/>
                <w:webHidden/>
                <w:color w:val="000000" w:themeColor="text1"/>
                <w:sz w:val="23"/>
                <w:szCs w:val="23"/>
              </w:rPr>
              <w:fldChar w:fldCharType="end"/>
            </w:r>
          </w:hyperlink>
        </w:p>
        <w:p w14:paraId="31BC284F" w14:textId="06B1F99C" w:rsidR="0008128B" w:rsidRPr="0008128B" w:rsidRDefault="00570D5D">
          <w:pPr>
            <w:pStyle w:val="TOC1"/>
            <w:tabs>
              <w:tab w:val="right" w:leader="dot" w:pos="10070"/>
            </w:tabs>
            <w:rPr>
              <w:rFonts w:asciiTheme="majorHAnsi" w:hAnsiTheme="majorHAnsi" w:cstheme="majorHAnsi"/>
              <w:noProof/>
              <w:color w:val="000000" w:themeColor="text1"/>
              <w:sz w:val="23"/>
              <w:szCs w:val="23"/>
              <w:lang w:val="en-GB" w:eastAsia="en-GB"/>
            </w:rPr>
          </w:pPr>
          <w:hyperlink w:anchor="_Toc216792776" w:history="1">
            <w:r w:rsidR="0008128B" w:rsidRPr="0008128B">
              <w:rPr>
                <w:rStyle w:val="Hyperlink"/>
                <w:rFonts w:asciiTheme="majorHAnsi" w:hAnsiTheme="majorHAnsi" w:cstheme="majorHAnsi"/>
                <w:noProof/>
                <w:color w:val="000000" w:themeColor="text1"/>
                <w:sz w:val="23"/>
                <w:szCs w:val="23"/>
              </w:rPr>
              <w:t>Care Quality Commission Quality Monitoring</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_Toc216792776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9</w:t>
            </w:r>
            <w:r w:rsidR="0008128B" w:rsidRPr="0008128B">
              <w:rPr>
                <w:rFonts w:asciiTheme="majorHAnsi" w:hAnsiTheme="majorHAnsi" w:cstheme="majorHAnsi"/>
                <w:noProof/>
                <w:webHidden/>
                <w:color w:val="000000" w:themeColor="text1"/>
                <w:sz w:val="23"/>
                <w:szCs w:val="23"/>
              </w:rPr>
              <w:fldChar w:fldCharType="end"/>
            </w:r>
          </w:hyperlink>
        </w:p>
        <w:p w14:paraId="1A631A1F" w14:textId="1A4E105B"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77" w:history="1">
            <w:r w:rsidR="0008128B" w:rsidRPr="0008128B">
              <w:rPr>
                <w:rStyle w:val="Hyperlink"/>
                <w:rFonts w:asciiTheme="majorHAnsi" w:hAnsiTheme="majorHAnsi" w:cstheme="majorHAnsi"/>
                <w:noProof/>
                <w:color w:val="000000" w:themeColor="text1"/>
                <w:sz w:val="23"/>
                <w:szCs w:val="23"/>
              </w:rPr>
              <w:t>Equality, Diversity, and Inclusion</w:t>
            </w:r>
            <w:r w:rsidR="0008128B" w:rsidRPr="0008128B">
              <w:rPr>
                <w:rFonts w:asciiTheme="majorHAnsi" w:hAnsiTheme="majorHAnsi" w:cstheme="majorHAnsi"/>
                <w:noProof/>
                <w:webHidden/>
                <w:color w:val="000000" w:themeColor="text1"/>
                <w:sz w:val="23"/>
                <w:szCs w:val="23"/>
              </w:rPr>
              <w:tab/>
            </w:r>
            <w:r w:rsidR="0008128B" w:rsidRPr="0008128B">
              <w:rPr>
                <w:rFonts w:asciiTheme="majorHAnsi" w:hAnsiTheme="majorHAnsi" w:cstheme="majorHAnsi"/>
                <w:noProof/>
                <w:webHidden/>
                <w:color w:val="000000" w:themeColor="text1"/>
                <w:sz w:val="23"/>
                <w:szCs w:val="23"/>
              </w:rPr>
              <w:fldChar w:fldCharType="begin"/>
            </w:r>
            <w:r w:rsidR="0008128B" w:rsidRPr="0008128B">
              <w:rPr>
                <w:rFonts w:asciiTheme="majorHAnsi" w:hAnsiTheme="majorHAnsi" w:cstheme="majorHAnsi"/>
                <w:noProof/>
                <w:webHidden/>
                <w:color w:val="000000" w:themeColor="text1"/>
                <w:sz w:val="23"/>
                <w:szCs w:val="23"/>
              </w:rPr>
              <w:instrText xml:space="preserve"> PAGEREF _Toc216792777 \h </w:instrText>
            </w:r>
            <w:r w:rsidR="0008128B" w:rsidRPr="0008128B">
              <w:rPr>
                <w:rFonts w:asciiTheme="majorHAnsi" w:hAnsiTheme="majorHAnsi" w:cstheme="majorHAnsi"/>
                <w:noProof/>
                <w:webHidden/>
                <w:color w:val="000000" w:themeColor="text1"/>
                <w:sz w:val="23"/>
                <w:szCs w:val="23"/>
              </w:rPr>
            </w:r>
            <w:r w:rsidR="0008128B" w:rsidRPr="0008128B">
              <w:rPr>
                <w:rFonts w:asciiTheme="majorHAnsi" w:hAnsiTheme="majorHAnsi" w:cstheme="majorHAnsi"/>
                <w:noProof/>
                <w:webHidden/>
                <w:color w:val="000000" w:themeColor="text1"/>
                <w:sz w:val="23"/>
                <w:szCs w:val="23"/>
              </w:rPr>
              <w:fldChar w:fldCharType="separate"/>
            </w:r>
            <w:r w:rsidR="0008128B" w:rsidRPr="0008128B">
              <w:rPr>
                <w:rFonts w:asciiTheme="majorHAnsi" w:hAnsiTheme="majorHAnsi" w:cstheme="majorHAnsi"/>
                <w:noProof/>
                <w:webHidden/>
                <w:color w:val="000000" w:themeColor="text1"/>
                <w:sz w:val="23"/>
                <w:szCs w:val="23"/>
              </w:rPr>
              <w:t>9</w:t>
            </w:r>
            <w:r w:rsidR="0008128B" w:rsidRPr="0008128B">
              <w:rPr>
                <w:rFonts w:asciiTheme="majorHAnsi" w:hAnsiTheme="majorHAnsi" w:cstheme="majorHAnsi"/>
                <w:noProof/>
                <w:webHidden/>
                <w:color w:val="000000" w:themeColor="text1"/>
                <w:sz w:val="23"/>
                <w:szCs w:val="23"/>
              </w:rPr>
              <w:fldChar w:fldCharType="end"/>
            </w:r>
          </w:hyperlink>
        </w:p>
        <w:p w14:paraId="66EDCC4F" w14:textId="447DED40"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78" w:history="1">
            <w:r w:rsidR="0008128B" w:rsidRPr="0008128B">
              <w:rPr>
                <w:rStyle w:val="Hyperlink"/>
                <w:rFonts w:asciiTheme="majorHAnsi" w:hAnsiTheme="majorHAnsi" w:cstheme="majorHAnsi"/>
                <w:noProof/>
                <w:sz w:val="23"/>
                <w:szCs w:val="23"/>
              </w:rPr>
              <w:t>Workforce profile (31 March 2025):</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_Toc216792778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10</w:t>
            </w:r>
            <w:r w:rsidR="0008128B" w:rsidRPr="0008128B">
              <w:rPr>
                <w:rFonts w:asciiTheme="majorHAnsi" w:hAnsiTheme="majorHAnsi" w:cstheme="majorHAnsi"/>
                <w:noProof/>
                <w:webHidden/>
                <w:sz w:val="23"/>
                <w:szCs w:val="23"/>
              </w:rPr>
              <w:fldChar w:fldCharType="end"/>
            </w:r>
          </w:hyperlink>
        </w:p>
        <w:p w14:paraId="4BC3E39E" w14:textId="0336612A"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79" w:history="1">
            <w:r w:rsidR="0008128B" w:rsidRPr="0008128B">
              <w:rPr>
                <w:rStyle w:val="Hyperlink"/>
                <w:rFonts w:asciiTheme="majorHAnsi" w:hAnsiTheme="majorHAnsi" w:cstheme="majorHAnsi"/>
                <w:noProof/>
                <w:sz w:val="23"/>
                <w:szCs w:val="23"/>
              </w:rPr>
              <w:t>Patient/Service User Data:</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_Toc216792779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11</w:t>
            </w:r>
            <w:r w:rsidR="0008128B" w:rsidRPr="0008128B">
              <w:rPr>
                <w:rFonts w:asciiTheme="majorHAnsi" w:hAnsiTheme="majorHAnsi" w:cstheme="majorHAnsi"/>
                <w:noProof/>
                <w:webHidden/>
                <w:sz w:val="23"/>
                <w:szCs w:val="23"/>
              </w:rPr>
              <w:fldChar w:fldCharType="end"/>
            </w:r>
          </w:hyperlink>
        </w:p>
        <w:p w14:paraId="34FFF3F9" w14:textId="48397B08"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0" w:history="1">
            <w:r w:rsidR="0008128B" w:rsidRPr="0008128B">
              <w:rPr>
                <w:rStyle w:val="Hyperlink"/>
                <w:rFonts w:asciiTheme="majorHAnsi" w:hAnsiTheme="majorHAnsi" w:cstheme="majorHAnsi"/>
                <w:noProof/>
                <w:sz w:val="23"/>
                <w:szCs w:val="23"/>
              </w:rPr>
              <w:t>Hospice Services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_Toc216792780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13</w:t>
            </w:r>
            <w:r w:rsidR="0008128B" w:rsidRPr="0008128B">
              <w:rPr>
                <w:rFonts w:asciiTheme="majorHAnsi" w:hAnsiTheme="majorHAnsi" w:cstheme="majorHAnsi"/>
                <w:noProof/>
                <w:webHidden/>
                <w:sz w:val="23"/>
                <w:szCs w:val="23"/>
              </w:rPr>
              <w:fldChar w:fldCharType="end"/>
            </w:r>
          </w:hyperlink>
        </w:p>
        <w:p w14:paraId="5A3F6D8C" w14:textId="4FE725A0"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81" w:history="1">
            <w:r w:rsidR="0008128B" w:rsidRPr="0008128B">
              <w:rPr>
                <w:rStyle w:val="Hyperlink"/>
                <w:rFonts w:asciiTheme="majorHAnsi" w:hAnsiTheme="majorHAnsi" w:cstheme="majorHAnsi"/>
                <w:noProof/>
                <w:sz w:val="23"/>
                <w:szCs w:val="23"/>
              </w:rPr>
              <w:t>Inpatient Unit</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_Toc216792781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13</w:t>
            </w:r>
            <w:r w:rsidR="0008128B" w:rsidRPr="0008128B">
              <w:rPr>
                <w:rFonts w:asciiTheme="majorHAnsi" w:hAnsiTheme="majorHAnsi" w:cstheme="majorHAnsi"/>
                <w:noProof/>
                <w:webHidden/>
                <w:sz w:val="23"/>
                <w:szCs w:val="23"/>
              </w:rPr>
              <w:fldChar w:fldCharType="end"/>
            </w:r>
          </w:hyperlink>
        </w:p>
        <w:p w14:paraId="4E5A88BF" w14:textId="4B000602"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82" w:history="1">
            <w:r w:rsidR="0008128B" w:rsidRPr="0008128B">
              <w:rPr>
                <w:rStyle w:val="Hyperlink"/>
                <w:rFonts w:asciiTheme="majorHAnsi" w:hAnsiTheme="majorHAnsi" w:cstheme="majorHAnsi"/>
                <w:noProof/>
                <w:sz w:val="23"/>
                <w:szCs w:val="23"/>
              </w:rPr>
              <w:t>Hospice Liaison Nurse &amp; Outreach</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_Toc216792782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13</w:t>
            </w:r>
            <w:r w:rsidR="0008128B" w:rsidRPr="0008128B">
              <w:rPr>
                <w:rFonts w:asciiTheme="majorHAnsi" w:hAnsiTheme="majorHAnsi" w:cstheme="majorHAnsi"/>
                <w:noProof/>
                <w:webHidden/>
                <w:sz w:val="23"/>
                <w:szCs w:val="23"/>
              </w:rPr>
              <w:fldChar w:fldCharType="end"/>
            </w:r>
          </w:hyperlink>
        </w:p>
        <w:p w14:paraId="023CEF04" w14:textId="53D3AB59"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3" w:history="1">
            <w:r w:rsidR="0008128B" w:rsidRPr="0008128B">
              <w:rPr>
                <w:rStyle w:val="Hyperlink"/>
                <w:rFonts w:asciiTheme="majorHAnsi" w:hAnsiTheme="majorHAnsi" w:cstheme="majorHAnsi"/>
                <w:noProof/>
                <w:sz w:val="23"/>
                <w:szCs w:val="23"/>
              </w:rPr>
              <w:t>Education</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_Toc216792783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14</w:t>
            </w:r>
            <w:r w:rsidR="0008128B" w:rsidRPr="0008128B">
              <w:rPr>
                <w:rFonts w:asciiTheme="majorHAnsi" w:hAnsiTheme="majorHAnsi" w:cstheme="majorHAnsi"/>
                <w:noProof/>
                <w:webHidden/>
                <w:sz w:val="23"/>
                <w:szCs w:val="23"/>
              </w:rPr>
              <w:fldChar w:fldCharType="end"/>
            </w:r>
          </w:hyperlink>
        </w:p>
        <w:p w14:paraId="76AA27F1" w14:textId="07706F8E"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4" w:history="1">
            <w:r w:rsidR="0008128B" w:rsidRPr="0008128B">
              <w:rPr>
                <w:rStyle w:val="Hyperlink"/>
                <w:rFonts w:asciiTheme="majorHAnsi" w:hAnsiTheme="majorHAnsi" w:cstheme="majorHAnsi"/>
                <w:noProof/>
                <w:sz w:val="23"/>
                <w:szCs w:val="23"/>
              </w:rPr>
              <w:t>Complementary Therapy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_Toc216792784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14</w:t>
            </w:r>
            <w:r w:rsidR="0008128B" w:rsidRPr="0008128B">
              <w:rPr>
                <w:rFonts w:asciiTheme="majorHAnsi" w:hAnsiTheme="majorHAnsi" w:cstheme="majorHAnsi"/>
                <w:noProof/>
                <w:webHidden/>
                <w:sz w:val="23"/>
                <w:szCs w:val="23"/>
              </w:rPr>
              <w:fldChar w:fldCharType="end"/>
            </w:r>
          </w:hyperlink>
        </w:p>
        <w:p w14:paraId="78CB514B" w14:textId="7C98494D"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5" w:history="1">
            <w:r w:rsidR="0008128B" w:rsidRPr="0008128B">
              <w:rPr>
                <w:rStyle w:val="Hyperlink"/>
                <w:rFonts w:asciiTheme="majorHAnsi" w:hAnsiTheme="majorHAnsi" w:cstheme="majorHAnsi"/>
                <w:noProof/>
                <w:sz w:val="23"/>
                <w:szCs w:val="23"/>
              </w:rPr>
              <w:t>Bereavement and Wellbeing Service</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_Toc216792785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15</w:t>
            </w:r>
            <w:r w:rsidR="0008128B" w:rsidRPr="0008128B">
              <w:rPr>
                <w:rFonts w:asciiTheme="majorHAnsi" w:hAnsiTheme="majorHAnsi" w:cstheme="majorHAnsi"/>
                <w:noProof/>
                <w:webHidden/>
                <w:sz w:val="23"/>
                <w:szCs w:val="23"/>
              </w:rPr>
              <w:fldChar w:fldCharType="end"/>
            </w:r>
          </w:hyperlink>
        </w:p>
        <w:p w14:paraId="2AFAAE0C" w14:textId="49909175"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6" w:history="1">
            <w:r w:rsidR="0008128B" w:rsidRPr="0008128B">
              <w:rPr>
                <w:rStyle w:val="Hyperlink"/>
                <w:rFonts w:asciiTheme="majorHAnsi" w:hAnsiTheme="majorHAnsi" w:cstheme="majorHAnsi"/>
                <w:noProof/>
                <w:sz w:val="23"/>
                <w:szCs w:val="23"/>
              </w:rPr>
              <w:t>Staff Education and Mandatory Training Compliance</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_Toc216792786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16</w:t>
            </w:r>
            <w:r w:rsidR="0008128B" w:rsidRPr="0008128B">
              <w:rPr>
                <w:rFonts w:asciiTheme="majorHAnsi" w:hAnsiTheme="majorHAnsi" w:cstheme="majorHAnsi"/>
                <w:noProof/>
                <w:webHidden/>
                <w:sz w:val="23"/>
                <w:szCs w:val="23"/>
              </w:rPr>
              <w:fldChar w:fldCharType="end"/>
            </w:r>
          </w:hyperlink>
        </w:p>
        <w:p w14:paraId="6DF3C950" w14:textId="4C5EAB38"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87" w:history="1">
            <w:r w:rsidR="0008128B" w:rsidRPr="0008128B">
              <w:rPr>
                <w:rStyle w:val="Hyperlink"/>
                <w:rFonts w:asciiTheme="majorHAnsi" w:hAnsiTheme="majorHAnsi" w:cstheme="majorHAnsi"/>
                <w:noProof/>
                <w:sz w:val="23"/>
                <w:szCs w:val="23"/>
              </w:rPr>
              <w:t>Patient Safety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_Toc216792787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17</w:t>
            </w:r>
            <w:r w:rsidR="0008128B" w:rsidRPr="0008128B">
              <w:rPr>
                <w:rFonts w:asciiTheme="majorHAnsi" w:hAnsiTheme="majorHAnsi" w:cstheme="majorHAnsi"/>
                <w:noProof/>
                <w:webHidden/>
                <w:sz w:val="23"/>
                <w:szCs w:val="23"/>
              </w:rPr>
              <w:fldChar w:fldCharType="end"/>
            </w:r>
          </w:hyperlink>
        </w:p>
        <w:p w14:paraId="3C7F02CA" w14:textId="4554E25E"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88" w:history="1">
            <w:r w:rsidR="0008128B" w:rsidRPr="0008128B">
              <w:rPr>
                <w:rStyle w:val="Hyperlink"/>
                <w:rFonts w:asciiTheme="majorHAnsi" w:hAnsiTheme="majorHAnsi" w:cstheme="majorHAnsi"/>
                <w:noProof/>
                <w:sz w:val="23"/>
                <w:szCs w:val="23"/>
              </w:rPr>
              <w:t>Infection Prevention and Control</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_Toc216792788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17</w:t>
            </w:r>
            <w:r w:rsidR="0008128B" w:rsidRPr="0008128B">
              <w:rPr>
                <w:rFonts w:asciiTheme="majorHAnsi" w:hAnsiTheme="majorHAnsi" w:cstheme="majorHAnsi"/>
                <w:noProof/>
                <w:webHidden/>
                <w:sz w:val="23"/>
                <w:szCs w:val="23"/>
              </w:rPr>
              <w:fldChar w:fldCharType="end"/>
            </w:r>
          </w:hyperlink>
        </w:p>
        <w:p w14:paraId="6F9ADB9E" w14:textId="679B07AC"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89" w:history="1">
            <w:r w:rsidR="0008128B" w:rsidRPr="0008128B">
              <w:rPr>
                <w:rStyle w:val="Hyperlink"/>
                <w:rFonts w:asciiTheme="majorHAnsi" w:hAnsiTheme="majorHAnsi" w:cstheme="majorHAnsi"/>
                <w:noProof/>
                <w:sz w:val="23"/>
                <w:szCs w:val="23"/>
              </w:rPr>
              <w:t>Incidents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_Toc216792789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17</w:t>
            </w:r>
            <w:r w:rsidR="0008128B" w:rsidRPr="0008128B">
              <w:rPr>
                <w:rFonts w:asciiTheme="majorHAnsi" w:hAnsiTheme="majorHAnsi" w:cstheme="majorHAnsi"/>
                <w:noProof/>
                <w:webHidden/>
                <w:sz w:val="23"/>
                <w:szCs w:val="23"/>
              </w:rPr>
              <w:fldChar w:fldCharType="end"/>
            </w:r>
          </w:hyperlink>
        </w:p>
        <w:p w14:paraId="22E82D3E" w14:textId="3A78A604"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0" w:history="1">
            <w:r w:rsidR="0008128B" w:rsidRPr="0008128B">
              <w:rPr>
                <w:rStyle w:val="Hyperlink"/>
                <w:rFonts w:asciiTheme="majorHAnsi" w:hAnsiTheme="majorHAnsi" w:cstheme="majorHAnsi"/>
                <w:noProof/>
                <w:sz w:val="23"/>
                <w:szCs w:val="23"/>
              </w:rPr>
              <w:t>Safeguarding</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_Toc216792790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18</w:t>
            </w:r>
            <w:r w:rsidR="0008128B" w:rsidRPr="0008128B">
              <w:rPr>
                <w:rFonts w:asciiTheme="majorHAnsi" w:hAnsiTheme="majorHAnsi" w:cstheme="majorHAnsi"/>
                <w:noProof/>
                <w:webHidden/>
                <w:sz w:val="23"/>
                <w:szCs w:val="23"/>
              </w:rPr>
              <w:fldChar w:fldCharType="end"/>
            </w:r>
          </w:hyperlink>
        </w:p>
        <w:p w14:paraId="401C6C47" w14:textId="2C668E3D"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91" w:history="1">
            <w:r w:rsidR="0008128B" w:rsidRPr="0008128B">
              <w:rPr>
                <w:rStyle w:val="Hyperlink"/>
                <w:rFonts w:asciiTheme="majorHAnsi" w:hAnsiTheme="majorHAnsi" w:cstheme="majorHAnsi"/>
                <w:noProof/>
                <w:sz w:val="23"/>
                <w:szCs w:val="23"/>
              </w:rPr>
              <w:t>National Quality Indicators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_Toc216792791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19</w:t>
            </w:r>
            <w:r w:rsidR="0008128B" w:rsidRPr="0008128B">
              <w:rPr>
                <w:rFonts w:asciiTheme="majorHAnsi" w:hAnsiTheme="majorHAnsi" w:cstheme="majorHAnsi"/>
                <w:noProof/>
                <w:webHidden/>
                <w:sz w:val="23"/>
                <w:szCs w:val="23"/>
              </w:rPr>
              <w:fldChar w:fldCharType="end"/>
            </w:r>
          </w:hyperlink>
        </w:p>
        <w:p w14:paraId="1D72C7F2" w14:textId="7886E4A3"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2" w:history="1">
            <w:r w:rsidR="0008128B" w:rsidRPr="0008128B">
              <w:rPr>
                <w:rStyle w:val="Hyperlink"/>
                <w:rFonts w:asciiTheme="majorHAnsi" w:hAnsiTheme="majorHAnsi" w:cstheme="majorHAnsi"/>
                <w:noProof/>
                <w:sz w:val="23"/>
                <w:szCs w:val="23"/>
              </w:rPr>
              <w:t>Inpatient falls: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_Toc216792792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19</w:t>
            </w:r>
            <w:r w:rsidR="0008128B" w:rsidRPr="0008128B">
              <w:rPr>
                <w:rFonts w:asciiTheme="majorHAnsi" w:hAnsiTheme="majorHAnsi" w:cstheme="majorHAnsi"/>
                <w:noProof/>
                <w:webHidden/>
                <w:sz w:val="23"/>
                <w:szCs w:val="23"/>
              </w:rPr>
              <w:fldChar w:fldCharType="end"/>
            </w:r>
          </w:hyperlink>
        </w:p>
        <w:p w14:paraId="576D54D2" w14:textId="3F665AAF"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3" w:history="1">
            <w:r w:rsidR="0008128B" w:rsidRPr="0008128B">
              <w:rPr>
                <w:rStyle w:val="Hyperlink"/>
                <w:rFonts w:asciiTheme="majorHAnsi" w:hAnsiTheme="majorHAnsi" w:cstheme="majorHAnsi"/>
                <w:noProof/>
                <w:sz w:val="23"/>
                <w:szCs w:val="23"/>
              </w:rPr>
              <w:t>Pressure Ulcers: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_Toc216792793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20</w:t>
            </w:r>
            <w:r w:rsidR="0008128B" w:rsidRPr="0008128B">
              <w:rPr>
                <w:rFonts w:asciiTheme="majorHAnsi" w:hAnsiTheme="majorHAnsi" w:cstheme="majorHAnsi"/>
                <w:noProof/>
                <w:webHidden/>
                <w:sz w:val="23"/>
                <w:szCs w:val="23"/>
              </w:rPr>
              <w:fldChar w:fldCharType="end"/>
            </w:r>
          </w:hyperlink>
        </w:p>
        <w:p w14:paraId="185BE830" w14:textId="4DDC6606"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4" w:history="1">
            <w:r w:rsidR="0008128B" w:rsidRPr="0008128B">
              <w:rPr>
                <w:rStyle w:val="Hyperlink"/>
                <w:rFonts w:asciiTheme="majorHAnsi" w:hAnsiTheme="majorHAnsi" w:cstheme="majorHAnsi"/>
                <w:noProof/>
                <w:sz w:val="23"/>
                <w:szCs w:val="23"/>
              </w:rPr>
              <w:t>Venous Thrombo-embolism:</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_Toc216792794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21</w:t>
            </w:r>
            <w:r w:rsidR="0008128B" w:rsidRPr="0008128B">
              <w:rPr>
                <w:rFonts w:asciiTheme="majorHAnsi" w:hAnsiTheme="majorHAnsi" w:cstheme="majorHAnsi"/>
                <w:noProof/>
                <w:webHidden/>
                <w:sz w:val="23"/>
                <w:szCs w:val="23"/>
              </w:rPr>
              <w:fldChar w:fldCharType="end"/>
            </w:r>
          </w:hyperlink>
        </w:p>
        <w:p w14:paraId="18E7427F" w14:textId="159B1B5B"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95" w:history="1">
            <w:r w:rsidR="0008128B" w:rsidRPr="0008128B">
              <w:rPr>
                <w:rStyle w:val="Hyperlink"/>
                <w:rFonts w:asciiTheme="majorHAnsi" w:hAnsiTheme="majorHAnsi" w:cstheme="majorHAnsi"/>
                <w:noProof/>
                <w:sz w:val="23"/>
                <w:szCs w:val="23"/>
              </w:rPr>
              <w:t>Mortality: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_Toc216792795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21</w:t>
            </w:r>
            <w:r w:rsidR="0008128B" w:rsidRPr="0008128B">
              <w:rPr>
                <w:rFonts w:asciiTheme="majorHAnsi" w:hAnsiTheme="majorHAnsi" w:cstheme="majorHAnsi"/>
                <w:noProof/>
                <w:webHidden/>
                <w:sz w:val="23"/>
                <w:szCs w:val="23"/>
              </w:rPr>
              <w:fldChar w:fldCharType="end"/>
            </w:r>
          </w:hyperlink>
        </w:p>
        <w:p w14:paraId="7AEEB96E" w14:textId="3C1FDF9D"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6" w:history="1">
            <w:r w:rsidR="0008128B" w:rsidRPr="0008128B">
              <w:rPr>
                <w:rStyle w:val="Hyperlink"/>
                <w:rFonts w:asciiTheme="majorHAnsi" w:hAnsiTheme="majorHAnsi" w:cstheme="majorHAnsi"/>
                <w:noProof/>
                <w:sz w:val="23"/>
                <w:szCs w:val="23"/>
              </w:rPr>
              <w:t>Medication:</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_Toc216792796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21</w:t>
            </w:r>
            <w:r w:rsidR="0008128B" w:rsidRPr="0008128B">
              <w:rPr>
                <w:rFonts w:asciiTheme="majorHAnsi" w:hAnsiTheme="majorHAnsi" w:cstheme="majorHAnsi"/>
                <w:noProof/>
                <w:webHidden/>
                <w:sz w:val="23"/>
                <w:szCs w:val="23"/>
              </w:rPr>
              <w:fldChar w:fldCharType="end"/>
            </w:r>
          </w:hyperlink>
        </w:p>
        <w:p w14:paraId="334CB31D" w14:textId="4CA6E612"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797" w:history="1">
            <w:r w:rsidR="0008128B" w:rsidRPr="0008128B">
              <w:rPr>
                <w:rStyle w:val="Hyperlink"/>
                <w:rFonts w:asciiTheme="majorHAnsi" w:hAnsiTheme="majorHAnsi" w:cstheme="majorHAnsi"/>
                <w:noProof/>
                <w:sz w:val="23"/>
                <w:szCs w:val="23"/>
              </w:rPr>
              <w:t>Controlled Drugs Incidents: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_Toc216792797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22</w:t>
            </w:r>
            <w:r w:rsidR="0008128B" w:rsidRPr="0008128B">
              <w:rPr>
                <w:rFonts w:asciiTheme="majorHAnsi" w:hAnsiTheme="majorHAnsi" w:cstheme="majorHAnsi"/>
                <w:noProof/>
                <w:webHidden/>
                <w:sz w:val="23"/>
                <w:szCs w:val="23"/>
              </w:rPr>
              <w:fldChar w:fldCharType="end"/>
            </w:r>
          </w:hyperlink>
        </w:p>
        <w:p w14:paraId="208026A5" w14:textId="13288965"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98" w:history="1">
            <w:r w:rsidR="0008128B" w:rsidRPr="0008128B">
              <w:rPr>
                <w:rStyle w:val="Hyperlink"/>
                <w:rFonts w:asciiTheme="majorHAnsi" w:hAnsiTheme="majorHAnsi" w:cstheme="majorHAnsi"/>
                <w:noProof/>
                <w:sz w:val="23"/>
                <w:szCs w:val="23"/>
              </w:rPr>
              <w:t>Audit</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_Toc216792798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23</w:t>
            </w:r>
            <w:r w:rsidR="0008128B" w:rsidRPr="0008128B">
              <w:rPr>
                <w:rFonts w:asciiTheme="majorHAnsi" w:hAnsiTheme="majorHAnsi" w:cstheme="majorHAnsi"/>
                <w:noProof/>
                <w:webHidden/>
                <w:sz w:val="23"/>
                <w:szCs w:val="23"/>
              </w:rPr>
              <w:fldChar w:fldCharType="end"/>
            </w:r>
          </w:hyperlink>
        </w:p>
        <w:p w14:paraId="6F5749E0" w14:textId="14B14213"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799" w:history="1">
            <w:r w:rsidR="0008128B" w:rsidRPr="0008128B">
              <w:rPr>
                <w:rStyle w:val="Hyperlink"/>
                <w:rFonts w:asciiTheme="majorHAnsi" w:hAnsiTheme="majorHAnsi" w:cstheme="majorHAnsi"/>
                <w:noProof/>
                <w:sz w:val="23"/>
                <w:szCs w:val="23"/>
              </w:rPr>
              <w:t>Local Audits: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_Toc216792799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23</w:t>
            </w:r>
            <w:r w:rsidR="0008128B" w:rsidRPr="0008128B">
              <w:rPr>
                <w:rFonts w:asciiTheme="majorHAnsi" w:hAnsiTheme="majorHAnsi" w:cstheme="majorHAnsi"/>
                <w:noProof/>
                <w:webHidden/>
                <w:sz w:val="23"/>
                <w:szCs w:val="23"/>
              </w:rPr>
              <w:fldChar w:fldCharType="end"/>
            </w:r>
          </w:hyperlink>
        </w:p>
        <w:p w14:paraId="02BA1096" w14:textId="08E82079"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0" w:history="1">
            <w:r w:rsidR="0008128B" w:rsidRPr="0008128B">
              <w:rPr>
                <w:rStyle w:val="Hyperlink"/>
                <w:rFonts w:asciiTheme="majorHAnsi" w:hAnsiTheme="majorHAnsi" w:cstheme="majorHAnsi"/>
                <w:noProof/>
                <w:sz w:val="23"/>
                <w:szCs w:val="23"/>
              </w:rPr>
              <w:t>Research (MANDATORY STATEMENT)</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_Toc216792800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25</w:t>
            </w:r>
            <w:r w:rsidR="0008128B" w:rsidRPr="0008128B">
              <w:rPr>
                <w:rFonts w:asciiTheme="majorHAnsi" w:hAnsiTheme="majorHAnsi" w:cstheme="majorHAnsi"/>
                <w:noProof/>
                <w:webHidden/>
                <w:sz w:val="23"/>
                <w:szCs w:val="23"/>
              </w:rPr>
              <w:fldChar w:fldCharType="end"/>
            </w:r>
          </w:hyperlink>
        </w:p>
        <w:p w14:paraId="371B07DC" w14:textId="122BA2F8"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01" w:history="1">
            <w:r w:rsidR="0008128B" w:rsidRPr="0008128B">
              <w:rPr>
                <w:rStyle w:val="Hyperlink"/>
                <w:rFonts w:asciiTheme="majorHAnsi" w:hAnsiTheme="majorHAnsi" w:cstheme="majorHAnsi"/>
                <w:noProof/>
                <w:sz w:val="23"/>
                <w:szCs w:val="23"/>
              </w:rPr>
              <w:t>National Audits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_Toc216792801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25</w:t>
            </w:r>
            <w:r w:rsidR="0008128B" w:rsidRPr="0008128B">
              <w:rPr>
                <w:rFonts w:asciiTheme="majorHAnsi" w:hAnsiTheme="majorHAnsi" w:cstheme="majorHAnsi"/>
                <w:noProof/>
                <w:webHidden/>
                <w:sz w:val="23"/>
                <w:szCs w:val="23"/>
              </w:rPr>
              <w:fldChar w:fldCharType="end"/>
            </w:r>
          </w:hyperlink>
        </w:p>
        <w:p w14:paraId="230953B3" w14:textId="21643967"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2" w:history="1">
            <w:r w:rsidR="0008128B" w:rsidRPr="0008128B">
              <w:rPr>
                <w:rStyle w:val="Hyperlink"/>
                <w:rFonts w:asciiTheme="majorHAnsi" w:hAnsiTheme="majorHAnsi" w:cstheme="majorHAnsi"/>
                <w:noProof/>
                <w:sz w:val="23"/>
                <w:szCs w:val="23"/>
              </w:rPr>
              <w:t>Use of the CQUIN Payment Framework (MANDATORY STATEMENT)</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_Toc216792802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25</w:t>
            </w:r>
            <w:r w:rsidR="0008128B" w:rsidRPr="0008128B">
              <w:rPr>
                <w:rFonts w:asciiTheme="majorHAnsi" w:hAnsiTheme="majorHAnsi" w:cstheme="majorHAnsi"/>
                <w:noProof/>
                <w:webHidden/>
                <w:sz w:val="23"/>
                <w:szCs w:val="23"/>
              </w:rPr>
              <w:fldChar w:fldCharType="end"/>
            </w:r>
          </w:hyperlink>
        </w:p>
        <w:p w14:paraId="37DCBD2A" w14:textId="5584D4CD"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3" w:history="1">
            <w:r w:rsidR="0008128B" w:rsidRPr="0008128B">
              <w:rPr>
                <w:rStyle w:val="Hyperlink"/>
                <w:rFonts w:asciiTheme="majorHAnsi" w:hAnsiTheme="majorHAnsi" w:cstheme="majorHAnsi"/>
                <w:noProof/>
                <w:sz w:val="23"/>
                <w:szCs w:val="23"/>
              </w:rPr>
              <w:t>Secondary Users Service (MANDATORY STATEMENT) –</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_Toc216792803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25</w:t>
            </w:r>
            <w:r w:rsidR="0008128B" w:rsidRPr="0008128B">
              <w:rPr>
                <w:rFonts w:asciiTheme="majorHAnsi" w:hAnsiTheme="majorHAnsi" w:cstheme="majorHAnsi"/>
                <w:noProof/>
                <w:webHidden/>
                <w:sz w:val="23"/>
                <w:szCs w:val="23"/>
              </w:rPr>
              <w:fldChar w:fldCharType="end"/>
            </w:r>
          </w:hyperlink>
        </w:p>
        <w:p w14:paraId="2A51C482" w14:textId="4953E8FC"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4" w:history="1">
            <w:r w:rsidR="0008128B" w:rsidRPr="0008128B">
              <w:rPr>
                <w:rStyle w:val="Hyperlink"/>
                <w:rFonts w:asciiTheme="majorHAnsi" w:hAnsiTheme="majorHAnsi" w:cstheme="majorHAnsi"/>
                <w:bCs/>
                <w:noProof/>
                <w:sz w:val="23"/>
                <w:szCs w:val="23"/>
              </w:rPr>
              <w:t>Clinical Coding Audit (</w:t>
            </w:r>
            <w:r w:rsidR="0008128B" w:rsidRPr="0008128B">
              <w:rPr>
                <w:rStyle w:val="Hyperlink"/>
                <w:rFonts w:asciiTheme="majorHAnsi" w:hAnsiTheme="majorHAnsi" w:cstheme="majorHAnsi"/>
                <w:noProof/>
                <w:sz w:val="23"/>
                <w:szCs w:val="23"/>
              </w:rPr>
              <w:t>MANDATORY STATEMENT) –</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_Toc216792804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25</w:t>
            </w:r>
            <w:r w:rsidR="0008128B" w:rsidRPr="0008128B">
              <w:rPr>
                <w:rFonts w:asciiTheme="majorHAnsi" w:hAnsiTheme="majorHAnsi" w:cstheme="majorHAnsi"/>
                <w:noProof/>
                <w:webHidden/>
                <w:sz w:val="23"/>
                <w:szCs w:val="23"/>
              </w:rPr>
              <w:fldChar w:fldCharType="end"/>
            </w:r>
          </w:hyperlink>
        </w:p>
        <w:p w14:paraId="1DEC774F" w14:textId="20E9F79C"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5" w:history="1">
            <w:r w:rsidR="0008128B" w:rsidRPr="0008128B">
              <w:rPr>
                <w:rStyle w:val="Hyperlink"/>
                <w:rFonts w:asciiTheme="majorHAnsi" w:hAnsiTheme="majorHAnsi" w:cstheme="majorHAnsi"/>
                <w:noProof/>
                <w:sz w:val="23"/>
                <w:szCs w:val="23"/>
              </w:rPr>
              <w:t>IT, Data and Cyber Security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_Toc216792805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26</w:t>
            </w:r>
            <w:r w:rsidR="0008128B" w:rsidRPr="0008128B">
              <w:rPr>
                <w:rFonts w:asciiTheme="majorHAnsi" w:hAnsiTheme="majorHAnsi" w:cstheme="majorHAnsi"/>
                <w:noProof/>
                <w:webHidden/>
                <w:sz w:val="23"/>
                <w:szCs w:val="23"/>
              </w:rPr>
              <w:fldChar w:fldCharType="end"/>
            </w:r>
          </w:hyperlink>
        </w:p>
        <w:p w14:paraId="13A9E180" w14:textId="6D5E2960"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06" w:history="1">
            <w:r w:rsidR="0008128B" w:rsidRPr="0008128B">
              <w:rPr>
                <w:rStyle w:val="Hyperlink"/>
                <w:rFonts w:asciiTheme="majorHAnsi" w:hAnsiTheme="majorHAnsi" w:cstheme="majorHAnsi"/>
                <w:noProof/>
                <w:sz w:val="23"/>
                <w:szCs w:val="23"/>
              </w:rPr>
              <w:t>The Data Security and Protection Toolkit (DSPT) (MANDATORY STATEMENT)</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_Toc216792806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26</w:t>
            </w:r>
            <w:r w:rsidR="0008128B" w:rsidRPr="0008128B">
              <w:rPr>
                <w:rFonts w:asciiTheme="majorHAnsi" w:hAnsiTheme="majorHAnsi" w:cstheme="majorHAnsi"/>
                <w:noProof/>
                <w:webHidden/>
                <w:sz w:val="23"/>
                <w:szCs w:val="23"/>
              </w:rPr>
              <w:fldChar w:fldCharType="end"/>
            </w:r>
          </w:hyperlink>
        </w:p>
        <w:p w14:paraId="773CB022" w14:textId="6F3154DE"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07" w:history="1">
            <w:r w:rsidR="0008128B" w:rsidRPr="0008128B">
              <w:rPr>
                <w:rStyle w:val="Hyperlink"/>
                <w:rFonts w:asciiTheme="majorHAnsi" w:hAnsiTheme="majorHAnsi" w:cstheme="majorHAnsi"/>
                <w:noProof/>
                <w:sz w:val="23"/>
                <w:szCs w:val="23"/>
              </w:rPr>
              <w:t>Significant achievements in IT, Data and Security this year include:</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_Toc216792807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27</w:t>
            </w:r>
            <w:r w:rsidR="0008128B" w:rsidRPr="0008128B">
              <w:rPr>
                <w:rFonts w:asciiTheme="majorHAnsi" w:hAnsiTheme="majorHAnsi" w:cstheme="majorHAnsi"/>
                <w:noProof/>
                <w:webHidden/>
                <w:sz w:val="23"/>
                <w:szCs w:val="23"/>
              </w:rPr>
              <w:fldChar w:fldCharType="end"/>
            </w:r>
          </w:hyperlink>
        </w:p>
        <w:p w14:paraId="6E3DF0E0" w14:textId="1DB07289"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8" w:history="1">
            <w:r w:rsidR="0008128B" w:rsidRPr="0008128B">
              <w:rPr>
                <w:rStyle w:val="Hyperlink"/>
                <w:rFonts w:asciiTheme="majorHAnsi" w:hAnsiTheme="majorHAnsi" w:cstheme="majorHAnsi"/>
                <w:noProof/>
                <w:sz w:val="23"/>
                <w:szCs w:val="23"/>
              </w:rPr>
              <w:t>Retail</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_Toc216792808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28</w:t>
            </w:r>
            <w:r w:rsidR="0008128B" w:rsidRPr="0008128B">
              <w:rPr>
                <w:rFonts w:asciiTheme="majorHAnsi" w:hAnsiTheme="majorHAnsi" w:cstheme="majorHAnsi"/>
                <w:noProof/>
                <w:webHidden/>
                <w:sz w:val="23"/>
                <w:szCs w:val="23"/>
              </w:rPr>
              <w:fldChar w:fldCharType="end"/>
            </w:r>
          </w:hyperlink>
        </w:p>
        <w:p w14:paraId="594EAA33" w14:textId="2EE0D5AD"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09" w:history="1">
            <w:r w:rsidR="0008128B" w:rsidRPr="0008128B">
              <w:rPr>
                <w:rStyle w:val="Hyperlink"/>
                <w:rFonts w:asciiTheme="majorHAnsi" w:hAnsiTheme="majorHAnsi" w:cstheme="majorHAnsi"/>
                <w:noProof/>
                <w:sz w:val="23"/>
                <w:szCs w:val="23"/>
              </w:rPr>
              <w:t>Financial Summary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_Toc216792809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30</w:t>
            </w:r>
            <w:r w:rsidR="0008128B" w:rsidRPr="0008128B">
              <w:rPr>
                <w:rFonts w:asciiTheme="majorHAnsi" w:hAnsiTheme="majorHAnsi" w:cstheme="majorHAnsi"/>
                <w:noProof/>
                <w:webHidden/>
                <w:sz w:val="23"/>
                <w:szCs w:val="23"/>
              </w:rPr>
              <w:fldChar w:fldCharType="end"/>
            </w:r>
          </w:hyperlink>
        </w:p>
        <w:p w14:paraId="39E444DD" w14:textId="0ED504B5"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10" w:history="1">
            <w:r w:rsidR="0008128B" w:rsidRPr="0008128B">
              <w:rPr>
                <w:rStyle w:val="Hyperlink"/>
                <w:rFonts w:asciiTheme="majorHAnsi" w:hAnsiTheme="majorHAnsi" w:cstheme="majorHAnsi"/>
                <w:noProof/>
                <w:sz w:val="23"/>
                <w:szCs w:val="23"/>
              </w:rPr>
              <w:t>Our Impact on the Local Community: Beyond Clinical Care</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_Toc216792810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30</w:t>
            </w:r>
            <w:r w:rsidR="0008128B" w:rsidRPr="0008128B">
              <w:rPr>
                <w:rFonts w:asciiTheme="majorHAnsi" w:hAnsiTheme="majorHAnsi" w:cstheme="majorHAnsi"/>
                <w:noProof/>
                <w:webHidden/>
                <w:sz w:val="23"/>
                <w:szCs w:val="23"/>
              </w:rPr>
              <w:fldChar w:fldCharType="end"/>
            </w:r>
          </w:hyperlink>
        </w:p>
        <w:p w14:paraId="0532A011" w14:textId="4E8BAD01"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11" w:history="1">
            <w:r w:rsidR="0008128B" w:rsidRPr="0008128B">
              <w:rPr>
                <w:rStyle w:val="Hyperlink"/>
                <w:rFonts w:asciiTheme="majorHAnsi" w:hAnsiTheme="majorHAnsi" w:cstheme="majorHAnsi"/>
                <w:noProof/>
                <w:sz w:val="23"/>
                <w:szCs w:val="23"/>
              </w:rPr>
              <w:t>Patient Care Support Services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_Toc216792811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31</w:t>
            </w:r>
            <w:r w:rsidR="0008128B" w:rsidRPr="0008128B">
              <w:rPr>
                <w:rFonts w:asciiTheme="majorHAnsi" w:hAnsiTheme="majorHAnsi" w:cstheme="majorHAnsi"/>
                <w:noProof/>
                <w:webHidden/>
                <w:sz w:val="23"/>
                <w:szCs w:val="23"/>
              </w:rPr>
              <w:fldChar w:fldCharType="end"/>
            </w:r>
          </w:hyperlink>
        </w:p>
        <w:p w14:paraId="02334E1F" w14:textId="4F13E861"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12" w:history="1">
            <w:r w:rsidR="0008128B" w:rsidRPr="0008128B">
              <w:rPr>
                <w:rStyle w:val="Hyperlink"/>
                <w:rFonts w:asciiTheme="majorHAnsi" w:hAnsiTheme="majorHAnsi" w:cstheme="majorHAnsi"/>
                <w:noProof/>
                <w:sz w:val="23"/>
                <w:szCs w:val="23"/>
              </w:rPr>
              <w:t>Facilities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_Toc216792812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31</w:t>
            </w:r>
            <w:r w:rsidR="0008128B" w:rsidRPr="0008128B">
              <w:rPr>
                <w:rFonts w:asciiTheme="majorHAnsi" w:hAnsiTheme="majorHAnsi" w:cstheme="majorHAnsi"/>
                <w:noProof/>
                <w:webHidden/>
                <w:sz w:val="23"/>
                <w:szCs w:val="23"/>
              </w:rPr>
              <w:fldChar w:fldCharType="end"/>
            </w:r>
          </w:hyperlink>
        </w:p>
        <w:p w14:paraId="0548B99B" w14:textId="0F5897DB"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13" w:history="1">
            <w:r w:rsidR="0008128B" w:rsidRPr="0008128B">
              <w:rPr>
                <w:rStyle w:val="Hyperlink"/>
                <w:rFonts w:asciiTheme="majorHAnsi" w:hAnsiTheme="majorHAnsi" w:cstheme="majorHAnsi"/>
                <w:noProof/>
                <w:sz w:val="23"/>
                <w:szCs w:val="23"/>
              </w:rPr>
              <w:t>Housekeeping Team</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_Toc216792813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32</w:t>
            </w:r>
            <w:r w:rsidR="0008128B" w:rsidRPr="0008128B">
              <w:rPr>
                <w:rFonts w:asciiTheme="majorHAnsi" w:hAnsiTheme="majorHAnsi" w:cstheme="majorHAnsi"/>
                <w:noProof/>
                <w:webHidden/>
                <w:sz w:val="23"/>
                <w:szCs w:val="23"/>
              </w:rPr>
              <w:fldChar w:fldCharType="end"/>
            </w:r>
          </w:hyperlink>
        </w:p>
        <w:p w14:paraId="52052795" w14:textId="705CF88E"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14" w:history="1">
            <w:r w:rsidR="0008128B" w:rsidRPr="0008128B">
              <w:rPr>
                <w:rStyle w:val="Hyperlink"/>
                <w:rFonts w:asciiTheme="majorHAnsi" w:hAnsiTheme="majorHAnsi" w:cstheme="majorHAnsi"/>
                <w:noProof/>
                <w:sz w:val="23"/>
                <w:szCs w:val="23"/>
              </w:rPr>
              <w:t>Catering</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_Toc216792814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32</w:t>
            </w:r>
            <w:r w:rsidR="0008128B" w:rsidRPr="0008128B">
              <w:rPr>
                <w:rFonts w:asciiTheme="majorHAnsi" w:hAnsiTheme="majorHAnsi" w:cstheme="majorHAnsi"/>
                <w:noProof/>
                <w:webHidden/>
                <w:sz w:val="23"/>
                <w:szCs w:val="23"/>
              </w:rPr>
              <w:fldChar w:fldCharType="end"/>
            </w:r>
          </w:hyperlink>
        </w:p>
        <w:p w14:paraId="2ACC5969" w14:textId="37403D88"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15" w:history="1">
            <w:r w:rsidR="0008128B" w:rsidRPr="0008128B">
              <w:rPr>
                <w:rStyle w:val="Hyperlink"/>
                <w:rFonts w:asciiTheme="majorHAnsi" w:hAnsiTheme="majorHAnsi" w:cstheme="majorHAnsi"/>
                <w:noProof/>
                <w:sz w:val="23"/>
                <w:szCs w:val="23"/>
              </w:rPr>
              <w:t>Volunteering</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_Toc216792815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32</w:t>
            </w:r>
            <w:r w:rsidR="0008128B" w:rsidRPr="0008128B">
              <w:rPr>
                <w:rFonts w:asciiTheme="majorHAnsi" w:hAnsiTheme="majorHAnsi" w:cstheme="majorHAnsi"/>
                <w:noProof/>
                <w:webHidden/>
                <w:sz w:val="23"/>
                <w:szCs w:val="23"/>
              </w:rPr>
              <w:fldChar w:fldCharType="end"/>
            </w:r>
          </w:hyperlink>
        </w:p>
        <w:p w14:paraId="7C8ED6F9" w14:textId="2B6A9393"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16" w:history="1">
            <w:r w:rsidR="0008128B" w:rsidRPr="0008128B">
              <w:rPr>
                <w:rStyle w:val="Hyperlink"/>
                <w:rFonts w:asciiTheme="majorHAnsi" w:hAnsiTheme="majorHAnsi" w:cstheme="majorHAnsi"/>
                <w:noProof/>
                <w:sz w:val="23"/>
                <w:szCs w:val="23"/>
              </w:rPr>
              <w:t>Volunteer recruitment 2024 – 25:</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_Toc216792816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33</w:t>
            </w:r>
            <w:r w:rsidR="0008128B" w:rsidRPr="0008128B">
              <w:rPr>
                <w:rFonts w:asciiTheme="majorHAnsi" w:hAnsiTheme="majorHAnsi" w:cstheme="majorHAnsi"/>
                <w:noProof/>
                <w:webHidden/>
                <w:sz w:val="23"/>
                <w:szCs w:val="23"/>
              </w:rPr>
              <w:fldChar w:fldCharType="end"/>
            </w:r>
          </w:hyperlink>
        </w:p>
        <w:p w14:paraId="0EDA19C1" w14:textId="3524D73B"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17" w:history="1">
            <w:r w:rsidR="0008128B" w:rsidRPr="0008128B">
              <w:rPr>
                <w:rStyle w:val="Hyperlink"/>
                <w:rFonts w:asciiTheme="majorHAnsi" w:hAnsiTheme="majorHAnsi" w:cstheme="majorHAnsi"/>
                <w:noProof/>
                <w:sz w:val="23"/>
                <w:szCs w:val="23"/>
              </w:rPr>
              <w:t>Patient Experience</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_Toc216792817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33</w:t>
            </w:r>
            <w:r w:rsidR="0008128B" w:rsidRPr="0008128B">
              <w:rPr>
                <w:rFonts w:asciiTheme="majorHAnsi" w:hAnsiTheme="majorHAnsi" w:cstheme="majorHAnsi"/>
                <w:noProof/>
                <w:webHidden/>
                <w:sz w:val="23"/>
                <w:szCs w:val="23"/>
              </w:rPr>
              <w:fldChar w:fldCharType="end"/>
            </w:r>
          </w:hyperlink>
        </w:p>
        <w:p w14:paraId="601AA800" w14:textId="018659C4"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18" w:history="1">
            <w:r w:rsidR="0008128B" w:rsidRPr="0008128B">
              <w:rPr>
                <w:rStyle w:val="Hyperlink"/>
                <w:rFonts w:asciiTheme="majorHAnsi" w:hAnsiTheme="majorHAnsi" w:cstheme="majorHAnsi"/>
                <w:noProof/>
                <w:sz w:val="23"/>
                <w:szCs w:val="23"/>
              </w:rPr>
              <w:t>What do people say about us?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_Toc216792818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34</w:t>
            </w:r>
            <w:r w:rsidR="0008128B" w:rsidRPr="0008128B">
              <w:rPr>
                <w:rFonts w:asciiTheme="majorHAnsi" w:hAnsiTheme="majorHAnsi" w:cstheme="majorHAnsi"/>
                <w:noProof/>
                <w:webHidden/>
                <w:sz w:val="23"/>
                <w:szCs w:val="23"/>
              </w:rPr>
              <w:fldChar w:fldCharType="end"/>
            </w:r>
          </w:hyperlink>
        </w:p>
        <w:p w14:paraId="79ABEC40" w14:textId="50350C12" w:rsidR="0008128B" w:rsidRPr="0008128B" w:rsidRDefault="00570D5D">
          <w:pPr>
            <w:pStyle w:val="TOC2"/>
            <w:tabs>
              <w:tab w:val="right" w:leader="dot" w:pos="10070"/>
            </w:tabs>
            <w:rPr>
              <w:rFonts w:asciiTheme="majorHAnsi" w:hAnsiTheme="majorHAnsi" w:cstheme="majorHAnsi"/>
              <w:noProof/>
              <w:sz w:val="23"/>
              <w:szCs w:val="23"/>
              <w:lang w:val="en-GB" w:eastAsia="en-GB"/>
            </w:rPr>
          </w:pPr>
          <w:hyperlink w:anchor="_Toc216792819" w:history="1">
            <w:r w:rsidR="0008128B" w:rsidRPr="0008128B">
              <w:rPr>
                <w:rStyle w:val="Hyperlink"/>
                <w:rFonts w:asciiTheme="majorHAnsi" w:hAnsiTheme="majorHAnsi" w:cstheme="majorHAnsi"/>
                <w:noProof/>
                <w:sz w:val="23"/>
                <w:szCs w:val="23"/>
              </w:rPr>
              <w:t>Visitor Feedback</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_Toc216792819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34</w:t>
            </w:r>
            <w:r w:rsidR="0008128B" w:rsidRPr="0008128B">
              <w:rPr>
                <w:rFonts w:asciiTheme="majorHAnsi" w:hAnsiTheme="majorHAnsi" w:cstheme="majorHAnsi"/>
                <w:noProof/>
                <w:webHidden/>
                <w:sz w:val="23"/>
                <w:szCs w:val="23"/>
              </w:rPr>
              <w:fldChar w:fldCharType="end"/>
            </w:r>
          </w:hyperlink>
        </w:p>
        <w:p w14:paraId="539354CD" w14:textId="32610DE1"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20" w:history="1">
            <w:r w:rsidR="0008128B" w:rsidRPr="0008128B">
              <w:rPr>
                <w:rStyle w:val="Hyperlink"/>
                <w:rFonts w:asciiTheme="majorHAnsi" w:hAnsiTheme="majorHAnsi" w:cstheme="majorHAnsi"/>
                <w:noProof/>
                <w:sz w:val="23"/>
                <w:szCs w:val="23"/>
              </w:rPr>
              <w:t>Complaints / Concerns and Compliments</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_Toc216792820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35</w:t>
            </w:r>
            <w:r w:rsidR="0008128B" w:rsidRPr="0008128B">
              <w:rPr>
                <w:rFonts w:asciiTheme="majorHAnsi" w:hAnsiTheme="majorHAnsi" w:cstheme="majorHAnsi"/>
                <w:noProof/>
                <w:webHidden/>
                <w:sz w:val="23"/>
                <w:szCs w:val="23"/>
              </w:rPr>
              <w:fldChar w:fldCharType="end"/>
            </w:r>
          </w:hyperlink>
        </w:p>
        <w:p w14:paraId="5629188F" w14:textId="367DABD8"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21" w:history="1">
            <w:r w:rsidR="0008128B" w:rsidRPr="0008128B">
              <w:rPr>
                <w:rStyle w:val="Hyperlink"/>
                <w:rFonts w:asciiTheme="majorHAnsi" w:hAnsiTheme="majorHAnsi" w:cstheme="majorHAnsi"/>
                <w:noProof/>
                <w:sz w:val="23"/>
                <w:szCs w:val="23"/>
              </w:rPr>
              <w:t>Patient Story</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_Toc216792821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36</w:t>
            </w:r>
            <w:r w:rsidR="0008128B" w:rsidRPr="0008128B">
              <w:rPr>
                <w:rFonts w:asciiTheme="majorHAnsi" w:hAnsiTheme="majorHAnsi" w:cstheme="majorHAnsi"/>
                <w:noProof/>
                <w:webHidden/>
                <w:sz w:val="23"/>
                <w:szCs w:val="23"/>
              </w:rPr>
              <w:fldChar w:fldCharType="end"/>
            </w:r>
          </w:hyperlink>
        </w:p>
        <w:p w14:paraId="01A008DC" w14:textId="5F6A156A"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22" w:history="1">
            <w:r w:rsidR="0008128B" w:rsidRPr="0008128B">
              <w:rPr>
                <w:rStyle w:val="Hyperlink"/>
                <w:rFonts w:asciiTheme="majorHAnsi" w:hAnsiTheme="majorHAnsi" w:cstheme="majorHAnsi"/>
                <w:bCs/>
                <w:noProof/>
                <w:sz w:val="23"/>
                <w:szCs w:val="23"/>
              </w:rPr>
              <w:t>Priorities for 2025 - 2026</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_Toc216792822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39</w:t>
            </w:r>
            <w:r w:rsidR="0008128B" w:rsidRPr="0008128B">
              <w:rPr>
                <w:rFonts w:asciiTheme="majorHAnsi" w:hAnsiTheme="majorHAnsi" w:cstheme="majorHAnsi"/>
                <w:noProof/>
                <w:webHidden/>
                <w:sz w:val="23"/>
                <w:szCs w:val="23"/>
              </w:rPr>
              <w:fldChar w:fldCharType="end"/>
            </w:r>
          </w:hyperlink>
        </w:p>
        <w:p w14:paraId="73808A67" w14:textId="040B793D" w:rsidR="0008128B" w:rsidRPr="0008128B" w:rsidRDefault="00570D5D">
          <w:pPr>
            <w:pStyle w:val="TOC1"/>
            <w:tabs>
              <w:tab w:val="right" w:leader="dot" w:pos="10070"/>
            </w:tabs>
            <w:rPr>
              <w:rFonts w:asciiTheme="majorHAnsi" w:hAnsiTheme="majorHAnsi" w:cstheme="majorHAnsi"/>
              <w:noProof/>
              <w:sz w:val="23"/>
              <w:szCs w:val="23"/>
              <w:lang w:val="en-GB" w:eastAsia="en-GB"/>
            </w:rPr>
          </w:pPr>
          <w:hyperlink w:anchor="_Toc216792823" w:history="1">
            <w:r w:rsidR="0008128B" w:rsidRPr="0008128B">
              <w:rPr>
                <w:rStyle w:val="Hyperlink"/>
                <w:rFonts w:asciiTheme="majorHAnsi" w:hAnsiTheme="majorHAnsi" w:cstheme="majorHAnsi"/>
                <w:noProof/>
                <w:sz w:val="23"/>
                <w:szCs w:val="23"/>
              </w:rPr>
              <w:t>Statement from Stakeholder Organisation</w:t>
            </w:r>
            <w:r w:rsidR="0008128B" w:rsidRPr="0008128B">
              <w:rPr>
                <w:rFonts w:asciiTheme="majorHAnsi" w:hAnsiTheme="majorHAnsi" w:cstheme="majorHAnsi"/>
                <w:noProof/>
                <w:webHidden/>
                <w:sz w:val="23"/>
                <w:szCs w:val="23"/>
              </w:rPr>
              <w:tab/>
            </w:r>
            <w:r w:rsidR="0008128B" w:rsidRPr="0008128B">
              <w:rPr>
                <w:rFonts w:asciiTheme="majorHAnsi" w:hAnsiTheme="majorHAnsi" w:cstheme="majorHAnsi"/>
                <w:noProof/>
                <w:webHidden/>
                <w:sz w:val="23"/>
                <w:szCs w:val="23"/>
              </w:rPr>
              <w:fldChar w:fldCharType="begin"/>
            </w:r>
            <w:r w:rsidR="0008128B" w:rsidRPr="0008128B">
              <w:rPr>
                <w:rFonts w:asciiTheme="majorHAnsi" w:hAnsiTheme="majorHAnsi" w:cstheme="majorHAnsi"/>
                <w:noProof/>
                <w:webHidden/>
                <w:sz w:val="23"/>
                <w:szCs w:val="23"/>
              </w:rPr>
              <w:instrText xml:space="preserve"> PAGEREF _Toc216792823 \h </w:instrText>
            </w:r>
            <w:r w:rsidR="0008128B" w:rsidRPr="0008128B">
              <w:rPr>
                <w:rFonts w:asciiTheme="majorHAnsi" w:hAnsiTheme="majorHAnsi" w:cstheme="majorHAnsi"/>
                <w:noProof/>
                <w:webHidden/>
                <w:sz w:val="23"/>
                <w:szCs w:val="23"/>
              </w:rPr>
            </w:r>
            <w:r w:rsidR="0008128B" w:rsidRPr="0008128B">
              <w:rPr>
                <w:rFonts w:asciiTheme="majorHAnsi" w:hAnsiTheme="majorHAnsi" w:cstheme="majorHAnsi"/>
                <w:noProof/>
                <w:webHidden/>
                <w:sz w:val="23"/>
                <w:szCs w:val="23"/>
              </w:rPr>
              <w:fldChar w:fldCharType="separate"/>
            </w:r>
            <w:r w:rsidR="0008128B" w:rsidRPr="0008128B">
              <w:rPr>
                <w:rFonts w:asciiTheme="majorHAnsi" w:hAnsiTheme="majorHAnsi" w:cstheme="majorHAnsi"/>
                <w:noProof/>
                <w:webHidden/>
                <w:sz w:val="23"/>
                <w:szCs w:val="23"/>
              </w:rPr>
              <w:t>40</w:t>
            </w:r>
            <w:r w:rsidR="0008128B" w:rsidRPr="0008128B">
              <w:rPr>
                <w:rFonts w:asciiTheme="majorHAnsi" w:hAnsiTheme="majorHAnsi" w:cstheme="majorHAnsi"/>
                <w:noProof/>
                <w:webHidden/>
                <w:sz w:val="23"/>
                <w:szCs w:val="23"/>
              </w:rPr>
              <w:fldChar w:fldCharType="end"/>
            </w:r>
          </w:hyperlink>
        </w:p>
        <w:p w14:paraId="1CF3FACE" w14:textId="4736C43E" w:rsidR="0008128B" w:rsidRPr="0008128B" w:rsidRDefault="0008128B">
          <w:pPr>
            <w:rPr>
              <w:rFonts w:asciiTheme="majorHAnsi" w:hAnsiTheme="majorHAnsi" w:cstheme="majorHAnsi"/>
              <w:sz w:val="23"/>
              <w:szCs w:val="23"/>
            </w:rPr>
          </w:pPr>
          <w:r w:rsidRPr="0008128B">
            <w:rPr>
              <w:rFonts w:asciiTheme="majorHAnsi" w:hAnsiTheme="majorHAnsi" w:cstheme="majorHAnsi"/>
              <w:bCs/>
              <w:noProof/>
              <w:sz w:val="23"/>
              <w:szCs w:val="23"/>
            </w:rPr>
            <w:fldChar w:fldCharType="end"/>
          </w:r>
        </w:p>
      </w:sdtContent>
    </w:sdt>
    <w:p w14:paraId="725D00B0" w14:textId="77777777" w:rsidR="00E87D50" w:rsidRPr="0008128B" w:rsidRDefault="00E87D50">
      <w:pPr>
        <w:rPr>
          <w:rFonts w:asciiTheme="majorHAnsi" w:hAnsiTheme="majorHAnsi" w:cstheme="majorHAnsi"/>
          <w:color w:val="EE0000"/>
          <w:sz w:val="23"/>
          <w:szCs w:val="23"/>
        </w:rPr>
      </w:pPr>
    </w:p>
    <w:p w14:paraId="74F056B2" w14:textId="77777777" w:rsidR="00E87D50" w:rsidRPr="0008128B" w:rsidRDefault="00E87D50">
      <w:pPr>
        <w:rPr>
          <w:rFonts w:asciiTheme="majorHAnsi" w:hAnsiTheme="majorHAnsi" w:cstheme="majorHAnsi"/>
          <w:color w:val="EE0000"/>
          <w:sz w:val="23"/>
          <w:szCs w:val="23"/>
        </w:rPr>
      </w:pPr>
    </w:p>
    <w:p w14:paraId="46D78BCB" w14:textId="2881F906" w:rsidR="00AD747A" w:rsidRPr="00B40537" w:rsidRDefault="00AD747A">
      <w:pPr>
        <w:rPr>
          <w:rFonts w:asciiTheme="majorHAnsi" w:hAnsiTheme="majorHAnsi" w:cstheme="majorHAnsi"/>
        </w:rPr>
        <w:sectPr w:rsidR="00AD747A" w:rsidRPr="00B40537" w:rsidSect="005E13F1">
          <w:footerReference w:type="default" r:id="rId11"/>
          <w:pgSz w:w="12240" w:h="15840"/>
          <w:pgMar w:top="1276" w:right="1080" w:bottom="1440" w:left="1080" w:header="0" w:footer="0" w:gutter="0"/>
          <w:cols w:space="720"/>
          <w:formProt w:val="0"/>
          <w:docGrid w:linePitch="360" w:charSpace="4096"/>
        </w:sectPr>
      </w:pPr>
    </w:p>
    <w:p w14:paraId="471CD2DA" w14:textId="6CC15E88" w:rsidR="00E87D50" w:rsidRPr="00B40537" w:rsidRDefault="00916657" w:rsidP="00AD747A">
      <w:pPr>
        <w:jc w:val="both"/>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noProof/>
          <w:lang w:val="en-GB" w:eastAsia="en-GB"/>
        </w:rPr>
        <w:lastRenderedPageBreak/>
        <w:drawing>
          <wp:anchor distT="0" distB="0" distL="114300" distR="114300" simplePos="0" relativeHeight="251669504" behindDoc="0" locked="0" layoutInCell="1" allowOverlap="1" wp14:anchorId="05BAA829" wp14:editId="30371C33">
            <wp:simplePos x="0" y="0"/>
            <wp:positionH relativeFrom="margin">
              <wp:posOffset>3455832</wp:posOffset>
            </wp:positionH>
            <wp:positionV relativeFrom="paragraph">
              <wp:posOffset>831850</wp:posOffset>
            </wp:positionV>
            <wp:extent cx="1706880" cy="1809750"/>
            <wp:effectExtent l="0" t="0" r="0" b="0"/>
            <wp:wrapThrough wrapText="bothSides">
              <wp:wrapPolygon edited="0">
                <wp:start x="1929" y="0"/>
                <wp:lineTo x="1929" y="21373"/>
                <wp:lineTo x="19768" y="21373"/>
                <wp:lineTo x="19768" y="0"/>
                <wp:lineTo x="1929" y="0"/>
              </wp:wrapPolygon>
            </wp:wrapThrough>
            <wp:docPr id="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1"/>
                    <pic:cNvPicPr>
                      <a:picLocks noChangeAspect="1" noChangeArrowheads="1"/>
                    </pic:cNvPicPr>
                  </pic:nvPicPr>
                  <pic:blipFill rotWithShape="1">
                    <a:blip r:embed="rId12">
                      <a:extLst>
                        <a:ext uri="{28A0092B-C50C-407E-A947-70E740481C1C}">
                          <a14:useLocalDpi xmlns:a14="http://schemas.microsoft.com/office/drawing/2010/main" val="0"/>
                        </a:ext>
                      </a:extLst>
                    </a:blip>
                    <a:srcRect l="-14000" r="-14000"/>
                    <a:stretch/>
                  </pic:blipFill>
                  <pic:spPr bwMode="auto">
                    <a:xfrm>
                      <a:off x="0" y="0"/>
                      <a:ext cx="1706880" cy="1809750"/>
                    </a:xfrm>
                    <a:prstGeom prst="rect">
                      <a:avLst/>
                    </a:prstGeom>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b/>
          <w:bCs/>
          <w:color w:val="5F497A" w:themeColor="accent4" w:themeShade="BF"/>
          <w:sz w:val="28"/>
          <w:szCs w:val="28"/>
          <w:u w:val="single"/>
        </w:rPr>
        <w:t>Statement of Assurance from the Board of Trustees Chief Executive Stuart Richardson and Chris Clayton-Butler Chair of Board of Trustees of Bury Hospice</w:t>
      </w:r>
    </w:p>
    <w:p w14:paraId="37D1C166" w14:textId="515475C6" w:rsidR="00E87D50" w:rsidRPr="00B40537" w:rsidRDefault="00B40537" w:rsidP="006D51DA">
      <w:pPr>
        <w:rPr>
          <w:rFonts w:asciiTheme="majorHAnsi" w:hAnsiTheme="majorHAnsi" w:cstheme="majorHAnsi"/>
        </w:rPr>
      </w:pPr>
      <w:r w:rsidRPr="00B40537">
        <w:rPr>
          <w:rFonts w:asciiTheme="majorHAnsi" w:hAnsiTheme="majorHAnsi" w:cstheme="majorHAnsi"/>
          <w:noProof/>
          <w:lang w:val="en-GB" w:eastAsia="en-GB"/>
        </w:rPr>
        <w:drawing>
          <wp:anchor distT="0" distB="0" distL="114300" distR="114300" simplePos="0" relativeHeight="251670528" behindDoc="0" locked="0" layoutInCell="1" allowOverlap="1" wp14:anchorId="1251FB10" wp14:editId="1D24A57E">
            <wp:simplePos x="0" y="0"/>
            <wp:positionH relativeFrom="margin">
              <wp:posOffset>474980</wp:posOffset>
            </wp:positionH>
            <wp:positionV relativeFrom="paragraph">
              <wp:posOffset>190338</wp:posOffset>
            </wp:positionV>
            <wp:extent cx="1892300" cy="1939290"/>
            <wp:effectExtent l="0" t="0" r="0" b="3810"/>
            <wp:wrapSquare wrapText="bothSides"/>
            <wp:docPr id="6"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pic:cNvPicPr>
                      <a:picLocks noChangeAspect="1" noChangeArrowheads="1"/>
                    </pic:cNvPicPr>
                  </pic:nvPicPr>
                  <pic:blipFill>
                    <a:blip r:embed="rId13" cstate="print">
                      <a:extLst>
                        <a:ext uri="{28A0092B-C50C-407E-A947-70E740481C1C}">
                          <a14:useLocalDpi xmlns:a14="http://schemas.microsoft.com/office/drawing/2010/main" val="0"/>
                        </a:ext>
                      </a:extLst>
                    </a:blip>
                    <a:srcRect t="12446" r="50650" b="19359"/>
                    <a:stretch>
                      <a:fillRect/>
                    </a:stretch>
                  </pic:blipFill>
                  <pic:spPr bwMode="auto">
                    <a:xfrm>
                      <a:off x="0" y="0"/>
                      <a:ext cx="1892300" cy="1939290"/>
                    </a:xfrm>
                    <a:prstGeom prst="rect">
                      <a:avLst/>
                    </a:prstGeom>
                  </pic:spPr>
                </pic:pic>
              </a:graphicData>
            </a:graphic>
          </wp:anchor>
        </w:drawing>
      </w:r>
      <w:r w:rsidR="00B603D6" w:rsidRPr="00B40537">
        <w:rPr>
          <w:rFonts w:asciiTheme="majorHAnsi" w:hAnsiTheme="majorHAnsi" w:cstheme="majorHAnsi"/>
          <w:noProof/>
          <w:lang w:val="en-GB" w:eastAsia="en-GB"/>
        </w:rPr>
        <w:t xml:space="preserve">                               </w:t>
      </w:r>
    </w:p>
    <w:p w14:paraId="2225323D" w14:textId="77777777" w:rsidR="00916657" w:rsidRPr="00B40537" w:rsidRDefault="00916657" w:rsidP="006D51DA">
      <w:pPr>
        <w:rPr>
          <w:rFonts w:asciiTheme="majorHAnsi" w:hAnsiTheme="majorHAnsi" w:cstheme="majorHAnsi"/>
        </w:rPr>
      </w:pPr>
    </w:p>
    <w:p w14:paraId="199DCA0E" w14:textId="77777777" w:rsidR="00916657" w:rsidRPr="00B40537" w:rsidRDefault="00916657" w:rsidP="006D51DA">
      <w:pPr>
        <w:rPr>
          <w:rFonts w:asciiTheme="majorHAnsi" w:hAnsiTheme="majorHAnsi" w:cstheme="majorHAnsi"/>
          <w:color w:val="5F497A" w:themeColor="accent4" w:themeShade="BF"/>
        </w:rPr>
      </w:pPr>
    </w:p>
    <w:p w14:paraId="3DBF42B7" w14:textId="77777777" w:rsidR="00916657" w:rsidRPr="00B40537" w:rsidRDefault="00916657" w:rsidP="006D51DA">
      <w:pPr>
        <w:rPr>
          <w:rFonts w:asciiTheme="majorHAnsi" w:hAnsiTheme="majorHAnsi" w:cstheme="majorHAnsi"/>
        </w:rPr>
      </w:pPr>
    </w:p>
    <w:p w14:paraId="621BAADA" w14:textId="77777777" w:rsidR="006D51DA" w:rsidRPr="00B40537" w:rsidRDefault="006D51DA" w:rsidP="00AD747A">
      <w:pPr>
        <w:pStyle w:val="Heading1"/>
        <w:spacing w:line="480" w:lineRule="auto"/>
        <w:jc w:val="both"/>
        <w:rPr>
          <w:rFonts w:cstheme="majorHAnsi"/>
          <w:color w:val="5F497A" w:themeColor="accent4" w:themeShade="BF"/>
        </w:rPr>
      </w:pPr>
    </w:p>
    <w:p w14:paraId="4FA2FC10" w14:textId="77777777" w:rsidR="00B40537" w:rsidRDefault="00B40537" w:rsidP="00AD747A">
      <w:pPr>
        <w:pStyle w:val="Heading1"/>
        <w:spacing w:line="480" w:lineRule="auto"/>
        <w:jc w:val="both"/>
        <w:rPr>
          <w:rFonts w:cstheme="majorHAnsi"/>
          <w:color w:val="5F497A" w:themeColor="accent4" w:themeShade="BF"/>
        </w:rPr>
      </w:pPr>
    </w:p>
    <w:p w14:paraId="04F5357C" w14:textId="700A210E" w:rsidR="00E87D50" w:rsidRPr="00B40537" w:rsidRDefault="00916657" w:rsidP="00AD747A">
      <w:pPr>
        <w:pStyle w:val="Heading1"/>
        <w:spacing w:line="480" w:lineRule="auto"/>
        <w:jc w:val="both"/>
        <w:rPr>
          <w:rFonts w:cstheme="majorHAnsi"/>
          <w:color w:val="5F497A" w:themeColor="accent4" w:themeShade="BF"/>
        </w:rPr>
      </w:pPr>
      <w:bookmarkStart w:id="0" w:name="_Toc216792770"/>
      <w:r w:rsidRPr="00B40537">
        <w:rPr>
          <w:rFonts w:cstheme="majorHAnsi"/>
          <w:color w:val="5F497A" w:themeColor="accent4" w:themeShade="BF"/>
        </w:rPr>
        <w:t>We</w:t>
      </w:r>
      <w:r w:rsidR="00B603D6" w:rsidRPr="00B40537">
        <w:rPr>
          <w:rFonts w:cstheme="majorHAnsi"/>
          <w:color w:val="5F497A" w:themeColor="accent4" w:themeShade="BF"/>
        </w:rPr>
        <w:t>lcome to the Bury Hospice Quality Account for 2024/25</w:t>
      </w:r>
      <w:bookmarkEnd w:id="0"/>
      <w:r w:rsidR="00B603D6" w:rsidRPr="00B40537">
        <w:rPr>
          <w:rFonts w:cstheme="majorHAnsi"/>
          <w:color w:val="5F497A" w:themeColor="accent4" w:themeShade="BF"/>
        </w:rPr>
        <w:t xml:space="preserve"> </w:t>
      </w:r>
    </w:p>
    <w:p w14:paraId="4E1177D7"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We are pleased to present the Bury Hospice Quality Account for the year 2024/25. This report outlines our achievements over the past year and sets out our ambitions for the future, supported by performance data and service insights. As Chief Executive and Chair of the Board of Trustees, we confirm that the contents of this report are accurate and that we fully endorse our </w:t>
      </w:r>
      <w:r w:rsidR="003F6DC9" w:rsidRPr="00B40537">
        <w:rPr>
          <w:rFonts w:asciiTheme="majorHAnsi" w:hAnsiTheme="majorHAnsi" w:cstheme="majorHAnsi"/>
          <w:sz w:val="24"/>
          <w:szCs w:val="24"/>
        </w:rPr>
        <w:t>organization’s</w:t>
      </w:r>
      <w:r w:rsidRPr="00B40537">
        <w:rPr>
          <w:rFonts w:asciiTheme="majorHAnsi" w:hAnsiTheme="majorHAnsi" w:cstheme="majorHAnsi"/>
          <w:sz w:val="24"/>
          <w:szCs w:val="24"/>
        </w:rPr>
        <w:t xml:space="preserve"> ongoing commitment to continuous quality improvement and service excellence.</w:t>
      </w:r>
    </w:p>
    <w:p w14:paraId="0F2F49E0" w14:textId="77777777" w:rsidR="00E87D50" w:rsidRPr="00B40537" w:rsidRDefault="00B603D6" w:rsidP="00AD747A">
      <w:pPr>
        <w:pStyle w:val="Level1"/>
        <w:spacing w:line="360" w:lineRule="auto"/>
        <w:outlineLvl w:val="1"/>
      </w:pPr>
      <w:bookmarkStart w:id="1" w:name="_Toc216792771"/>
      <w:r w:rsidRPr="00B40537">
        <w:t>Our Mission</w:t>
      </w:r>
      <w:bookmarkEnd w:id="1"/>
    </w:p>
    <w:p w14:paraId="2431D6E4" w14:textId="44CA2965"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To facilitate the provision of compassionate and holistic specialist palliative and end of life care in Bury, making sure this is person </w:t>
      </w:r>
      <w:r w:rsidR="00AD747A" w:rsidRPr="00B40537">
        <w:rPr>
          <w:rFonts w:asciiTheme="majorHAnsi" w:hAnsiTheme="majorHAnsi" w:cstheme="majorHAnsi"/>
          <w:sz w:val="24"/>
          <w:szCs w:val="24"/>
        </w:rPr>
        <w:t>centered</w:t>
      </w:r>
      <w:r w:rsidRPr="00B40537">
        <w:rPr>
          <w:rFonts w:asciiTheme="majorHAnsi" w:hAnsiTheme="majorHAnsi" w:cstheme="majorHAnsi"/>
          <w:sz w:val="24"/>
          <w:szCs w:val="24"/>
        </w:rPr>
        <w:t xml:space="preserve"> and provided in a person’s preferred place of care.</w:t>
      </w:r>
    </w:p>
    <w:p w14:paraId="270DAB5E" w14:textId="77777777" w:rsidR="00E87D50" w:rsidRPr="00B40537" w:rsidRDefault="00B603D6" w:rsidP="00AD747A">
      <w:pPr>
        <w:pStyle w:val="Level1"/>
        <w:outlineLvl w:val="1"/>
        <w:rPr>
          <w:bCs/>
        </w:rPr>
      </w:pPr>
      <w:bookmarkStart w:id="2" w:name="_Toc216792772"/>
      <w:r w:rsidRPr="00B40537">
        <w:rPr>
          <w:bCs/>
        </w:rPr>
        <w:t>Our Vision</w:t>
      </w:r>
      <w:bookmarkEnd w:id="2"/>
    </w:p>
    <w:p w14:paraId="5273F403"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want everyone in Bury to receive compassionate and outstanding personalised support as they experience their palliative care and end-of-life and strive to fulfil their wishes as fully as possible.</w:t>
      </w:r>
    </w:p>
    <w:p w14:paraId="45650024"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We support a population of over 194,606 (ONS, 2022), in the Metropolitan Borough of Bury, in the north of Greater Manchester. It is a diverse area of six townships; Bury, Prestwich, Whitefield, Radcliffe, Tottington and Ramsbottom. We also accept patients who live ‘out of area’ if their local hospice cannot admit them. We are regarded as a community asset, delivering the palliative and end-of-life care needs of all communities within the Metropolitan Borough of Bury. The hospice is considered as the specialist </w:t>
      </w:r>
      <w:r w:rsidRPr="00B40537">
        <w:rPr>
          <w:rFonts w:asciiTheme="majorHAnsi" w:hAnsiTheme="majorHAnsi" w:cstheme="majorHAnsi"/>
          <w:sz w:val="24"/>
          <w:szCs w:val="24"/>
        </w:rPr>
        <w:lastRenderedPageBreak/>
        <w:t xml:space="preserve">‘hub’ for palliative and EOL care in Bury and is leading the shape of the Bury ambitions and care delivery pathways. </w:t>
      </w:r>
    </w:p>
    <w:p w14:paraId="4EC331E1"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We maintained our 'Good' rating under the Care Quality Commission monitoring framework. The quality of our services and practice is monitored and reviewed by our Clinical Governance Committee which reports directly to Bury Hospice Trustee Board. </w:t>
      </w:r>
    </w:p>
    <w:p w14:paraId="315D658C"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We continue our commitment to working in partnership with other healthcare organisations to improve quality, increase access to services, and help to build a strong and sustainable Integrated Care System in Bury and across the Greater Manchester Integrated Care Board footprint. </w:t>
      </w:r>
    </w:p>
    <w:p w14:paraId="670D7968"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Looking ahead, Bury Hospice is committed to strengthening and influencing palliative care provision across Bury and the surrounding communities. Our strategic objective in 2025/26 remains to continue to review and adapt our existing services guided by the patients and families who trust us with their care, using our resources carefully to sustain care provision, improve our facilities and work even more collaboratively with colleagues in the wider health and social care system to promote equitable access to hospice care and to reduce unnecessary hospital admissions at the end of life. Our vision is for more people to be able to die in their preferred place, with the dignity and care they deserve.</w:t>
      </w:r>
    </w:p>
    <w:p w14:paraId="0AF78AEA"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Our people are at the centre of this vision. We continue to invest in professional development, foster collaboration, and refine our model of care so we can meet the evolving needs of our community, now and into the future.</w:t>
      </w:r>
    </w:p>
    <w:p w14:paraId="5598D759"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I confirm that to the best of my knowledge, the information contained within this Quality Account is a true and accurate account of quality standards at Bury Hospice."</w:t>
      </w:r>
    </w:p>
    <w:p w14:paraId="638A4ED7"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tbl>
      <w:tblPr>
        <w:tblStyle w:val="TableGrid"/>
        <w:tblW w:w="0" w:type="auto"/>
        <w:tblBorders>
          <w:top w:val="single" w:sz="4" w:space="0" w:color="8064A2" w:themeColor="accent4"/>
          <w:left w:val="single" w:sz="4" w:space="0" w:color="8064A2" w:themeColor="accent4"/>
          <w:bottom w:val="single" w:sz="4" w:space="0" w:color="8064A2" w:themeColor="accent4"/>
          <w:right w:val="single" w:sz="4" w:space="0" w:color="8064A2" w:themeColor="accent4"/>
          <w:insideH w:val="single" w:sz="4" w:space="0" w:color="8064A2" w:themeColor="accent4"/>
          <w:insideV w:val="single" w:sz="4" w:space="0" w:color="8064A2" w:themeColor="accent4"/>
        </w:tblBorders>
        <w:tblLook w:val="04A0" w:firstRow="1" w:lastRow="0" w:firstColumn="1" w:lastColumn="0" w:noHBand="0" w:noVBand="1"/>
      </w:tblPr>
      <w:tblGrid>
        <w:gridCol w:w="10070"/>
      </w:tblGrid>
      <w:tr w:rsidR="00E87D50" w:rsidRPr="00B40537" w14:paraId="57852743" w14:textId="77777777" w:rsidTr="00AD747A">
        <w:trPr>
          <w:trHeight w:val="3366"/>
        </w:trPr>
        <w:tc>
          <w:tcPr>
            <w:tcW w:w="0" w:type="auto"/>
            <w:vAlign w:val="center"/>
          </w:tcPr>
          <w:p w14:paraId="4BFF8252" w14:textId="77777777" w:rsidR="00E87D50" w:rsidRPr="00B40537" w:rsidRDefault="00E87D50" w:rsidP="00AD747A">
            <w:pPr>
              <w:spacing w:after="0" w:line="240" w:lineRule="auto"/>
              <w:rPr>
                <w:rFonts w:asciiTheme="majorHAnsi" w:hAnsiTheme="majorHAnsi" w:cstheme="majorHAnsi"/>
              </w:rPr>
            </w:pPr>
          </w:p>
          <w:p w14:paraId="24375311" w14:textId="77777777" w:rsidR="00E87D50" w:rsidRPr="00B40537" w:rsidRDefault="00B603D6" w:rsidP="00AD747A">
            <w:pPr>
              <w:spacing w:after="0" w:line="240" w:lineRule="auto"/>
              <w:rPr>
                <w:rFonts w:asciiTheme="majorHAnsi" w:hAnsiTheme="majorHAnsi" w:cstheme="majorHAnsi"/>
                <w:sz w:val="24"/>
                <w:szCs w:val="24"/>
              </w:rPr>
            </w:pPr>
            <w:r w:rsidRPr="00B40537">
              <w:rPr>
                <w:rFonts w:asciiTheme="majorHAnsi" w:eastAsia="MS Mincho" w:hAnsiTheme="majorHAnsi" w:cstheme="majorHAnsi"/>
                <w:sz w:val="24"/>
                <w:szCs w:val="24"/>
              </w:rPr>
              <w:t xml:space="preserve">We welcome your comments and feedback on this Quality Account, which you can do via email, letter or telephone to Stuart Richardson, CEO. He may be contacted by telephone: 01617259800, or by email at </w:t>
            </w:r>
            <w:hyperlink r:id="rId14">
              <w:r w:rsidRPr="00B40537">
                <w:rPr>
                  <w:rStyle w:val="Hyperlink"/>
                  <w:rFonts w:asciiTheme="majorHAnsi" w:eastAsia="MS Mincho" w:hAnsiTheme="majorHAnsi" w:cstheme="majorHAnsi"/>
                  <w:sz w:val="24"/>
                  <w:szCs w:val="24"/>
                </w:rPr>
                <w:t>stuartrichardson@buryhospice.org.uk</w:t>
              </w:r>
            </w:hyperlink>
          </w:p>
          <w:p w14:paraId="797A6D64" w14:textId="77777777" w:rsidR="00E87D50" w:rsidRPr="00B40537" w:rsidRDefault="00E87D50" w:rsidP="00AD747A">
            <w:pPr>
              <w:spacing w:after="0" w:line="240" w:lineRule="auto"/>
              <w:rPr>
                <w:rFonts w:asciiTheme="majorHAnsi" w:hAnsiTheme="majorHAnsi" w:cstheme="majorHAnsi"/>
                <w:sz w:val="24"/>
                <w:szCs w:val="24"/>
              </w:rPr>
            </w:pPr>
          </w:p>
          <w:p w14:paraId="68C39AB3" w14:textId="77777777" w:rsidR="00E87D50" w:rsidRPr="00B40537" w:rsidRDefault="00B603D6" w:rsidP="00AD747A">
            <w:pPr>
              <w:spacing w:after="0" w:line="240" w:lineRule="auto"/>
              <w:rPr>
                <w:rFonts w:asciiTheme="majorHAnsi" w:hAnsiTheme="majorHAnsi" w:cstheme="majorHAnsi"/>
                <w:sz w:val="24"/>
                <w:szCs w:val="24"/>
              </w:rPr>
            </w:pPr>
            <w:r w:rsidRPr="00B40537">
              <w:rPr>
                <w:rFonts w:asciiTheme="majorHAnsi" w:eastAsia="MS Mincho" w:hAnsiTheme="majorHAnsi" w:cstheme="majorHAnsi"/>
                <w:sz w:val="24"/>
                <w:szCs w:val="24"/>
              </w:rPr>
              <w:t>Please address correspondence to Stuart Richardson, Bury Hospice, Rochdale Old Road,</w:t>
            </w:r>
          </w:p>
          <w:p w14:paraId="3312AB28" w14:textId="77777777" w:rsidR="00E87D50" w:rsidRPr="00B40537" w:rsidRDefault="00B603D6" w:rsidP="00AD747A">
            <w:pPr>
              <w:spacing w:after="0" w:line="240" w:lineRule="auto"/>
              <w:rPr>
                <w:rFonts w:asciiTheme="majorHAnsi" w:hAnsiTheme="majorHAnsi" w:cstheme="majorHAnsi"/>
                <w:sz w:val="24"/>
                <w:szCs w:val="24"/>
              </w:rPr>
            </w:pPr>
            <w:r w:rsidRPr="00B40537">
              <w:rPr>
                <w:rFonts w:asciiTheme="majorHAnsi" w:eastAsia="MS Mincho" w:hAnsiTheme="majorHAnsi" w:cstheme="majorHAnsi"/>
                <w:sz w:val="24"/>
                <w:szCs w:val="24"/>
              </w:rPr>
              <w:t>Bury BL9 7RG.</w:t>
            </w:r>
          </w:p>
          <w:p w14:paraId="6E3CE71C" w14:textId="77777777" w:rsidR="00E87D50" w:rsidRPr="00B40537" w:rsidRDefault="00E87D50" w:rsidP="00AD747A">
            <w:pPr>
              <w:spacing w:after="0" w:line="240" w:lineRule="auto"/>
              <w:rPr>
                <w:rFonts w:asciiTheme="majorHAnsi" w:hAnsiTheme="majorHAnsi" w:cstheme="majorHAnsi"/>
                <w:sz w:val="24"/>
                <w:szCs w:val="24"/>
              </w:rPr>
            </w:pPr>
          </w:p>
          <w:p w14:paraId="317B0540" w14:textId="77777777" w:rsidR="00E87D50" w:rsidRPr="00B40537" w:rsidRDefault="00B603D6" w:rsidP="00AD747A">
            <w:pPr>
              <w:spacing w:after="0" w:line="240" w:lineRule="auto"/>
              <w:rPr>
                <w:rFonts w:asciiTheme="majorHAnsi" w:hAnsiTheme="majorHAnsi" w:cstheme="majorHAnsi"/>
                <w:sz w:val="24"/>
                <w:szCs w:val="24"/>
              </w:rPr>
            </w:pPr>
            <w:r w:rsidRPr="00B40537">
              <w:rPr>
                <w:rFonts w:asciiTheme="majorHAnsi" w:eastAsia="MS Mincho" w:hAnsiTheme="majorHAnsi" w:cstheme="majorHAnsi"/>
                <w:sz w:val="24"/>
                <w:szCs w:val="24"/>
              </w:rPr>
              <w:t>Charity number: 1136843</w:t>
            </w:r>
          </w:p>
        </w:tc>
      </w:tr>
    </w:tbl>
    <w:p w14:paraId="2A402C54" w14:textId="77777777" w:rsidR="00B603D6" w:rsidRPr="00B40537" w:rsidRDefault="00B603D6" w:rsidP="00AD747A">
      <w:pPr>
        <w:jc w:val="both"/>
        <w:rPr>
          <w:rFonts w:asciiTheme="majorHAnsi" w:hAnsiTheme="majorHAnsi" w:cstheme="majorHAnsi"/>
        </w:rPr>
        <w:sectPr w:rsidR="00B603D6" w:rsidRPr="00B40537" w:rsidSect="00B40537">
          <w:type w:val="continuous"/>
          <w:pgSz w:w="12240" w:h="15840"/>
          <w:pgMar w:top="1440" w:right="1080" w:bottom="1440" w:left="1080" w:header="0" w:footer="0" w:gutter="0"/>
          <w:cols w:space="720"/>
          <w:formProt w:val="0"/>
          <w:docGrid w:linePitch="360" w:charSpace="4096"/>
        </w:sectPr>
      </w:pPr>
    </w:p>
    <w:p w14:paraId="7AF15712" w14:textId="77777777" w:rsidR="00E87D50" w:rsidRPr="00B40537" w:rsidRDefault="00E87D50" w:rsidP="00AD747A">
      <w:pPr>
        <w:jc w:val="both"/>
        <w:rPr>
          <w:rFonts w:asciiTheme="majorHAnsi" w:hAnsiTheme="majorHAnsi" w:cstheme="majorHAnsi"/>
        </w:rPr>
      </w:pPr>
    </w:p>
    <w:p w14:paraId="17A65576" w14:textId="0E90C91B" w:rsidR="00E87D50" w:rsidRPr="00B40537" w:rsidRDefault="00B603D6" w:rsidP="00B40537">
      <w:pPr>
        <w:pStyle w:val="MainLevel"/>
        <w:spacing w:line="480" w:lineRule="auto"/>
      </w:pPr>
      <w:bookmarkStart w:id="3" w:name="_Toc216792773"/>
      <w:r w:rsidRPr="00B40537">
        <w:lastRenderedPageBreak/>
        <w:t>Statement on Governance and Public Benefit – how we serve the population of Bury</w:t>
      </w:r>
      <w:bookmarkEnd w:id="3"/>
    </w:p>
    <w:tbl>
      <w:tblPr>
        <w:tblStyle w:val="TableGrid"/>
        <w:tblW w:w="8520" w:type="dxa"/>
        <w:tblInd w:w="702" w:type="dxa"/>
        <w:tblLayout w:type="fixed"/>
        <w:tblLook w:val="04A0" w:firstRow="1" w:lastRow="0" w:firstColumn="1" w:lastColumn="0" w:noHBand="0" w:noVBand="1"/>
      </w:tblPr>
      <w:tblGrid>
        <w:gridCol w:w="8520"/>
      </w:tblGrid>
      <w:tr w:rsidR="00E87D50" w:rsidRPr="00B40537" w14:paraId="43E93789" w14:textId="77777777" w:rsidTr="00B40537">
        <w:trPr>
          <w:trHeight w:val="6273"/>
        </w:trPr>
        <w:tc>
          <w:tcPr>
            <w:tcW w:w="8520" w:type="dxa"/>
            <w:tcBorders>
              <w:top w:val="thickThinSmallGap" w:sz="36" w:space="0" w:color="403152"/>
              <w:left w:val="thickThinSmallGap" w:sz="36" w:space="0" w:color="403152"/>
              <w:bottom w:val="thickThinSmallGap" w:sz="36" w:space="0" w:color="403152"/>
              <w:right w:val="thickThinSmallGap" w:sz="36" w:space="0" w:color="403152"/>
            </w:tcBorders>
          </w:tcPr>
          <w:p w14:paraId="63295686" w14:textId="6A628B1F" w:rsidR="00E87D50" w:rsidRPr="00B40537" w:rsidRDefault="00570D5D" w:rsidP="00AD747A">
            <w:pPr>
              <w:spacing w:after="0" w:line="240" w:lineRule="auto"/>
              <w:jc w:val="both"/>
              <w:rPr>
                <w:rFonts w:asciiTheme="majorHAnsi" w:hAnsiTheme="majorHAnsi" w:cstheme="majorHAnsi"/>
                <w:highlight w:val="yellow"/>
              </w:rPr>
            </w:pPr>
            <w:r>
              <w:object w:dxaOrig="9481" w:dyaOrig="6647" w14:anchorId="49E82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414.6pt;height:316.8pt" o:ole="">
                  <v:imagedata r:id="rId15" o:title=""/>
                </v:shape>
                <o:OLEObject Type="Embed" ProgID="PBrush" ShapeID="_x0000_i1030" DrawAspect="Content" ObjectID="_1827574029" r:id="rId16"/>
              </w:object>
            </w:r>
          </w:p>
        </w:tc>
      </w:tr>
    </w:tbl>
    <w:p w14:paraId="650448FA" w14:textId="77777777" w:rsidR="00E87D50" w:rsidRPr="00B40537" w:rsidRDefault="00E87D50" w:rsidP="00AD747A">
      <w:pPr>
        <w:jc w:val="both"/>
        <w:rPr>
          <w:rFonts w:asciiTheme="majorHAnsi" w:hAnsiTheme="majorHAnsi" w:cstheme="majorHAnsi"/>
          <w:highlight w:val="yellow"/>
        </w:rPr>
      </w:pPr>
    </w:p>
    <w:p w14:paraId="70708039"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Bury Hospice cares for patients (over the age of 18) who are living with life-limiting illnesses, while also providing vital support to their families and carers. Our compassionate, dedicated multi-disciplinary team includes Nurses, Doctors, Allied Health Professionals, Complementary Therapists, Psychological Support Staff, and Dementia Specialists.</w:t>
      </w:r>
    </w:p>
    <w:p w14:paraId="7C16D598" w14:textId="5DF6AF7C" w:rsidR="000755A5"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work closely with local hospitals, community services, social care providers, and voluntary organisations to ensure every patient receives personalised care that is unique to their needs. Our support extends to patients, families, and loved ones throughout the entire journey — from diagnosis, through treatment, and beyond.</w:t>
      </w:r>
    </w:p>
    <w:p w14:paraId="130D2341"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Based at our hospice in the heart of Bury, we offer a wide range of services both on-site and in community, through our Outreach team which delivers care and support in the comfort of a patient’s own home, enabling them to remain in a place of their choosing at the end of their life.</w:t>
      </w:r>
    </w:p>
    <w:p w14:paraId="7A0E31FA"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We support a population of over 190,000 (ONS, 2018), in the Metropolitan Borough of Bury, in the north of Greater Manchester. It is a diverse area of six townships; Bury, Prestwich, Whitefield, Radcliffe, </w:t>
      </w:r>
      <w:r w:rsidRPr="00B40537">
        <w:rPr>
          <w:rFonts w:asciiTheme="majorHAnsi" w:hAnsiTheme="majorHAnsi" w:cstheme="majorHAnsi"/>
          <w:sz w:val="24"/>
          <w:szCs w:val="24"/>
        </w:rPr>
        <w:lastRenderedPageBreak/>
        <w:t xml:space="preserve">Tottington and Ramsbottom. We also accept patients who live ‘out of area’ if their local hospice cannot admit them. </w:t>
      </w:r>
    </w:p>
    <w:p w14:paraId="0DA03AF6"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are regarded as a community asset, delivering the palliative and end-of-life care needs of all communities within the Metropolitan Borough of Bury. The hospice is considered as the specialist ‘hub’ for palliative and EOL care in Bury and is leading the shape of the Bury ambitions and care delivery pathways.</w:t>
      </w:r>
    </w:p>
    <w:p w14:paraId="57029BA6" w14:textId="483D2C7B"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Our specialist a</w:t>
      </w:r>
      <w:r w:rsidR="00AD747A" w:rsidRPr="00B40537">
        <w:rPr>
          <w:rFonts w:asciiTheme="majorHAnsi" w:hAnsiTheme="majorHAnsi" w:cstheme="majorHAnsi"/>
          <w:sz w:val="24"/>
          <w:szCs w:val="24"/>
        </w:rPr>
        <w:t xml:space="preserve">nd dedicated services include </w:t>
      </w:r>
      <w:r w:rsidRPr="00B40537">
        <w:rPr>
          <w:rFonts w:asciiTheme="majorHAnsi" w:hAnsiTheme="majorHAnsi" w:cstheme="majorHAnsi"/>
          <w:sz w:val="24"/>
          <w:szCs w:val="24"/>
        </w:rPr>
        <w:t>eight bedded Inpatient Unit (IPU) with the capacity to increase in size if required, community outreach and bereavement/holistic support services.</w:t>
      </w:r>
    </w:p>
    <w:p w14:paraId="1A1A168F" w14:textId="77777777" w:rsidR="00E87D50" w:rsidRPr="00B40537" w:rsidRDefault="00B603D6" w:rsidP="00AD747A">
      <w:pPr>
        <w:spacing w:after="0" w:line="240" w:lineRule="auto"/>
        <w:jc w:val="both"/>
        <w:rPr>
          <w:rFonts w:asciiTheme="majorHAnsi" w:hAnsiTheme="majorHAnsi" w:cstheme="majorHAnsi"/>
          <w:sz w:val="24"/>
          <w:szCs w:val="24"/>
        </w:rPr>
      </w:pPr>
      <w:r w:rsidRPr="00B40537">
        <w:rPr>
          <w:rFonts w:asciiTheme="majorHAnsi" w:hAnsiTheme="majorHAnsi" w:cstheme="majorHAnsi"/>
          <w:sz w:val="24"/>
          <w:szCs w:val="24"/>
        </w:rPr>
        <w:t xml:space="preserve"> It costs around </w:t>
      </w:r>
      <w:r w:rsidRPr="00B40537">
        <w:rPr>
          <w:rFonts w:asciiTheme="majorHAnsi" w:hAnsiTheme="majorHAnsi" w:cstheme="majorHAnsi"/>
          <w:b/>
          <w:color w:val="5F497A" w:themeColor="accent4" w:themeShade="BF"/>
          <w:sz w:val="24"/>
          <w:szCs w:val="24"/>
        </w:rPr>
        <w:t>£4.9 million</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 xml:space="preserve">to run Bury Hospice each year, and with only a 17% contribution from the NHS, with the remainder being raised through our charitable income generation and retail offer that spans across the Borough, so every single donation makes a difference. Our income generation team works nonstop to keep our doors open, alongside our staff who also donate their time to individually fundraise and volunteer at fundraising events – just one of the many reasons why our hospice is such a wonderful place to work. </w:t>
      </w:r>
    </w:p>
    <w:p w14:paraId="75E02AF6" w14:textId="77777777" w:rsidR="00E87D50" w:rsidRPr="00B40537" w:rsidRDefault="00E87D50" w:rsidP="00AD747A">
      <w:pPr>
        <w:spacing w:after="0" w:line="240" w:lineRule="auto"/>
        <w:jc w:val="both"/>
        <w:rPr>
          <w:rFonts w:asciiTheme="majorHAnsi" w:hAnsiTheme="majorHAnsi" w:cstheme="majorHAnsi"/>
          <w:sz w:val="24"/>
          <w:szCs w:val="24"/>
        </w:rPr>
      </w:pPr>
    </w:p>
    <w:p w14:paraId="33DD165B" w14:textId="77777777" w:rsidR="00E87D50" w:rsidRPr="00B40537" w:rsidRDefault="00B603D6" w:rsidP="00AD747A">
      <w:pPr>
        <w:spacing w:after="0" w:line="240" w:lineRule="auto"/>
        <w:jc w:val="both"/>
        <w:rPr>
          <w:rFonts w:asciiTheme="majorHAnsi" w:hAnsiTheme="majorHAnsi" w:cstheme="majorHAnsi"/>
          <w:sz w:val="24"/>
          <w:szCs w:val="24"/>
        </w:rPr>
      </w:pPr>
      <w:r w:rsidRPr="00B40537">
        <w:rPr>
          <w:rFonts w:asciiTheme="majorHAnsi" w:hAnsiTheme="majorHAnsi" w:cstheme="majorHAnsi"/>
          <w:sz w:val="24"/>
          <w:szCs w:val="24"/>
        </w:rPr>
        <w:t xml:space="preserve">We recognise and value the key role volunteers play in enabling a thriving and successful hospice and we are proud of the fact that we have a dedicated team of volunteers covering both clinical and non-clinical services across the whole organisation. </w:t>
      </w:r>
    </w:p>
    <w:p w14:paraId="43AF659E" w14:textId="77777777" w:rsidR="00E87D50" w:rsidRPr="00B40537" w:rsidRDefault="00E87D50" w:rsidP="00AD747A">
      <w:pPr>
        <w:spacing w:after="0" w:line="240" w:lineRule="auto"/>
        <w:jc w:val="both"/>
        <w:rPr>
          <w:rFonts w:asciiTheme="majorHAnsi" w:hAnsiTheme="majorHAnsi" w:cstheme="majorHAnsi"/>
          <w:sz w:val="24"/>
          <w:szCs w:val="24"/>
        </w:rPr>
      </w:pPr>
    </w:p>
    <w:p w14:paraId="3ADA3FF5" w14:textId="77777777" w:rsidR="00E87D50" w:rsidRPr="00B40537" w:rsidRDefault="00B603D6" w:rsidP="00AD747A">
      <w:pPr>
        <w:spacing w:after="0" w:line="240" w:lineRule="auto"/>
        <w:jc w:val="both"/>
        <w:rPr>
          <w:rFonts w:asciiTheme="majorHAnsi" w:hAnsiTheme="majorHAnsi" w:cstheme="majorHAnsi"/>
          <w:sz w:val="24"/>
          <w:szCs w:val="24"/>
        </w:rPr>
      </w:pPr>
      <w:r w:rsidRPr="00B40537">
        <w:rPr>
          <w:rFonts w:asciiTheme="majorHAnsi" w:hAnsiTheme="majorHAnsi" w:cstheme="majorHAnsi"/>
          <w:sz w:val="24"/>
          <w:szCs w:val="24"/>
        </w:rPr>
        <w:t>Governance of the Organisation: Th</w:t>
      </w:r>
      <w:r w:rsidR="00CA090B" w:rsidRPr="00B40537">
        <w:rPr>
          <w:rFonts w:asciiTheme="majorHAnsi" w:hAnsiTheme="majorHAnsi" w:cstheme="majorHAnsi"/>
          <w:sz w:val="24"/>
          <w:szCs w:val="24"/>
        </w:rPr>
        <w:t>e Board, currently made up of 14</w:t>
      </w:r>
      <w:r w:rsidRPr="00B40537">
        <w:rPr>
          <w:rFonts w:asciiTheme="majorHAnsi" w:hAnsiTheme="majorHAnsi" w:cstheme="majorHAnsi"/>
          <w:sz w:val="24"/>
          <w:szCs w:val="24"/>
        </w:rPr>
        <w:t xml:space="preserve"> Trustees, who have ultimate responsibility for the governance of Bury Hospice. The Board is responsible for all major strategic decisions, for monitoring the </w:t>
      </w:r>
      <w:r w:rsidR="003F6DC9" w:rsidRPr="00B40537">
        <w:rPr>
          <w:rFonts w:asciiTheme="majorHAnsi" w:hAnsiTheme="majorHAnsi" w:cstheme="majorHAnsi"/>
          <w:sz w:val="24"/>
          <w:szCs w:val="24"/>
        </w:rPr>
        <w:t>organisations</w:t>
      </w:r>
      <w:r w:rsidRPr="00B40537">
        <w:rPr>
          <w:rFonts w:asciiTheme="majorHAnsi" w:hAnsiTheme="majorHAnsi" w:cstheme="majorHAnsi"/>
          <w:sz w:val="24"/>
          <w:szCs w:val="24"/>
        </w:rPr>
        <w:t xml:space="preserve"> performance, and to ensure that it complies with its Articles of Association and applicable laws and regulations. </w:t>
      </w:r>
    </w:p>
    <w:p w14:paraId="61D46082" w14:textId="77777777" w:rsidR="00E87D50" w:rsidRPr="00B40537" w:rsidRDefault="00E87D50" w:rsidP="00AD747A">
      <w:pPr>
        <w:jc w:val="both"/>
        <w:rPr>
          <w:rFonts w:asciiTheme="majorHAnsi" w:hAnsiTheme="majorHAnsi" w:cstheme="majorHAnsi"/>
          <w:b/>
          <w:bCs/>
          <w:color w:val="5F497A" w:themeColor="accent4" w:themeShade="BF"/>
          <w:sz w:val="28"/>
          <w:szCs w:val="28"/>
          <w:u w:val="single"/>
        </w:rPr>
      </w:pPr>
    </w:p>
    <w:p w14:paraId="2B875882" w14:textId="77777777" w:rsidR="00B603D6" w:rsidRPr="00B40537" w:rsidRDefault="00B603D6" w:rsidP="00AD747A">
      <w:pPr>
        <w:jc w:val="both"/>
        <w:rPr>
          <w:rFonts w:asciiTheme="majorHAnsi" w:hAnsiTheme="majorHAnsi" w:cstheme="majorHAnsi"/>
          <w:b/>
          <w:bCs/>
          <w:color w:val="5F497A" w:themeColor="accent4" w:themeShade="BF"/>
          <w:sz w:val="28"/>
          <w:szCs w:val="28"/>
          <w:u w:val="single"/>
        </w:rPr>
      </w:pPr>
    </w:p>
    <w:p w14:paraId="025B41AE" w14:textId="77777777" w:rsidR="00B603D6" w:rsidRPr="00B40537" w:rsidRDefault="00B603D6" w:rsidP="00AD747A">
      <w:pPr>
        <w:jc w:val="both"/>
        <w:rPr>
          <w:rFonts w:asciiTheme="majorHAnsi" w:hAnsiTheme="majorHAnsi" w:cstheme="majorHAnsi"/>
          <w:b/>
          <w:bCs/>
          <w:color w:val="5F497A" w:themeColor="accent4" w:themeShade="BF"/>
          <w:sz w:val="28"/>
          <w:szCs w:val="28"/>
          <w:u w:val="single"/>
        </w:rPr>
      </w:pPr>
    </w:p>
    <w:p w14:paraId="1FE5E8E8" w14:textId="1404563D" w:rsidR="006D51DA" w:rsidRPr="00B40537" w:rsidRDefault="006D51DA" w:rsidP="00B40537">
      <w:pPr>
        <w:pStyle w:val="FrameContents"/>
      </w:pPr>
    </w:p>
    <w:p w14:paraId="056D1125" w14:textId="47658267" w:rsidR="00B3741F" w:rsidRDefault="00B3741F" w:rsidP="00B40537">
      <w:pPr>
        <w:pStyle w:val="FrameContents"/>
      </w:pPr>
    </w:p>
    <w:p w14:paraId="1C4885F5" w14:textId="741F59BC" w:rsidR="00B40537" w:rsidRDefault="00B40537" w:rsidP="00B40537">
      <w:pPr>
        <w:pStyle w:val="FrameContents"/>
      </w:pPr>
    </w:p>
    <w:p w14:paraId="62E07855" w14:textId="34614226" w:rsidR="00B40537" w:rsidRDefault="00B40537" w:rsidP="00AD747A">
      <w:pPr>
        <w:pStyle w:val="MainLevel"/>
        <w:rPr>
          <w:rFonts w:asciiTheme="minorHAnsi" w:eastAsiaTheme="minorEastAsia" w:hAnsiTheme="minorHAnsi" w:cstheme="minorBidi"/>
          <w:b w:val="0"/>
          <w:color w:val="auto"/>
          <w:sz w:val="22"/>
          <w:szCs w:val="22"/>
          <w:u w:val="none"/>
        </w:rPr>
      </w:pPr>
    </w:p>
    <w:p w14:paraId="12337730" w14:textId="77777777" w:rsidR="00B40537" w:rsidRDefault="00B40537" w:rsidP="00B40537">
      <w:pPr>
        <w:pStyle w:val="FrameContents"/>
      </w:pPr>
    </w:p>
    <w:p w14:paraId="7249BCD7" w14:textId="05888EF1" w:rsidR="00E87D50" w:rsidRPr="00B40537" w:rsidRDefault="00B603D6" w:rsidP="00AD747A">
      <w:pPr>
        <w:pStyle w:val="MainLevel"/>
      </w:pPr>
      <w:bookmarkStart w:id="4" w:name="_Toc216792774"/>
      <w:r w:rsidRPr="00B40537">
        <w:lastRenderedPageBreak/>
        <w:t>Our Strategic Ambition</w:t>
      </w:r>
      <w:bookmarkEnd w:id="4"/>
    </w:p>
    <w:p w14:paraId="11DE7D1D"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 Our ambition to continuously improve our services as well as our efficiency, and effectiveness is embedded in our culture, plans, and personal objectives.</w:t>
      </w:r>
    </w:p>
    <w:p w14:paraId="1F727ADC"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 We will demonstrate our commitment by using data from patient and family feedback, incident reports, and front-line experiences to change the way we do things, achieving better outcomes for those who need our support. </w:t>
      </w:r>
    </w:p>
    <w:p w14:paraId="05DFFBAE"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will be formally reviewing existing services to ensure they are meeting needs within the current funding envelope and to give us an indication of the resources required in future years to address growing demand or enhancement of these services.</w:t>
      </w:r>
    </w:p>
    <w:p w14:paraId="758D4C79" w14:textId="5B72B634" w:rsidR="00E87D50" w:rsidRPr="00B40537" w:rsidRDefault="00B603D6" w:rsidP="00B40537">
      <w:pPr>
        <w:pStyle w:val="FrameContents"/>
        <w:jc w:val="both"/>
        <w:rPr>
          <w:rFonts w:asciiTheme="majorHAnsi" w:hAnsiTheme="majorHAnsi" w:cstheme="majorHAnsi"/>
          <w:color w:val="5F497A" w:themeColor="accent4" w:themeShade="BF"/>
          <w:u w:val="single"/>
        </w:rPr>
      </w:pPr>
      <w:r w:rsidRPr="00B40537">
        <w:rPr>
          <w:rFonts w:asciiTheme="majorHAnsi" w:hAnsiTheme="majorHAnsi" w:cstheme="majorHAnsi"/>
          <w:noProof/>
          <w:lang w:val="en-GB" w:eastAsia="en-GB"/>
        </w:rPr>
        <w:drawing>
          <wp:anchor distT="0" distB="0" distL="114300" distR="114300" simplePos="0" relativeHeight="251671552" behindDoc="1" locked="0" layoutInCell="1" allowOverlap="1" wp14:anchorId="4B3EF0CB" wp14:editId="11260F6E">
            <wp:simplePos x="0" y="0"/>
            <wp:positionH relativeFrom="margin">
              <wp:posOffset>504825</wp:posOffset>
            </wp:positionH>
            <wp:positionV relativeFrom="paragraph">
              <wp:posOffset>8093</wp:posOffset>
            </wp:positionV>
            <wp:extent cx="5390515" cy="3018790"/>
            <wp:effectExtent l="0" t="0" r="0" b="0"/>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390515" cy="3018790"/>
                    </a:xfrm>
                    <a:prstGeom prst="rect">
                      <a:avLst/>
                    </a:prstGeom>
                  </pic:spPr>
                </pic:pic>
              </a:graphicData>
            </a:graphic>
          </wp:anchor>
        </w:drawing>
      </w:r>
    </w:p>
    <w:p w14:paraId="3EDBC988" w14:textId="77777777" w:rsidR="00B40537" w:rsidRDefault="00B40537" w:rsidP="00B40537">
      <w:pPr>
        <w:pStyle w:val="Level1"/>
        <w:outlineLvl w:val="9"/>
      </w:pPr>
    </w:p>
    <w:p w14:paraId="0D150C6E" w14:textId="600EE39A" w:rsidR="00B40537" w:rsidRDefault="00B40537" w:rsidP="00B40537">
      <w:pPr>
        <w:pStyle w:val="Level1"/>
        <w:outlineLvl w:val="9"/>
      </w:pPr>
    </w:p>
    <w:p w14:paraId="363E7725" w14:textId="342D733E" w:rsidR="00B40537" w:rsidRDefault="00B40537" w:rsidP="00B40537">
      <w:pPr>
        <w:pStyle w:val="Level1"/>
        <w:outlineLvl w:val="9"/>
      </w:pPr>
    </w:p>
    <w:p w14:paraId="4EAAE48B" w14:textId="1ED2101C" w:rsidR="00B40537" w:rsidRDefault="00B40537" w:rsidP="00B40537">
      <w:pPr>
        <w:pStyle w:val="Level1"/>
        <w:outlineLvl w:val="9"/>
      </w:pPr>
    </w:p>
    <w:p w14:paraId="7BC0B3D9" w14:textId="47DB7C68" w:rsidR="00B40537" w:rsidRDefault="00B40537" w:rsidP="00B40537">
      <w:pPr>
        <w:pStyle w:val="Level1"/>
        <w:outlineLvl w:val="9"/>
      </w:pPr>
    </w:p>
    <w:p w14:paraId="4A407E2B" w14:textId="70E818D8" w:rsidR="00B40537" w:rsidRDefault="00B40537" w:rsidP="00B40537">
      <w:pPr>
        <w:pStyle w:val="Level1"/>
        <w:outlineLvl w:val="9"/>
      </w:pPr>
    </w:p>
    <w:p w14:paraId="130E012B" w14:textId="6C6F4A37" w:rsidR="00B40537" w:rsidRDefault="00B40537" w:rsidP="00B40537">
      <w:pPr>
        <w:pStyle w:val="Level1"/>
        <w:outlineLvl w:val="9"/>
      </w:pPr>
    </w:p>
    <w:p w14:paraId="047F12A0" w14:textId="327E4F9D" w:rsidR="00B40537" w:rsidRDefault="00B40537" w:rsidP="00B40537">
      <w:pPr>
        <w:pStyle w:val="FrameContents"/>
      </w:pPr>
    </w:p>
    <w:p w14:paraId="32C0FE25" w14:textId="77777777" w:rsidR="00B40537" w:rsidRDefault="00B40537" w:rsidP="00AD747A">
      <w:pPr>
        <w:pStyle w:val="Level1"/>
      </w:pPr>
    </w:p>
    <w:p w14:paraId="48BBAA14" w14:textId="13505D39" w:rsidR="00E87D50" w:rsidRPr="00B40537" w:rsidRDefault="00B603D6" w:rsidP="00AD747A">
      <w:pPr>
        <w:pStyle w:val="Level1"/>
      </w:pPr>
      <w:bookmarkStart w:id="5" w:name="_Toc216792775"/>
      <w:r w:rsidRPr="00B40537">
        <w:t>Quality Assurance</w:t>
      </w:r>
      <w:bookmarkEnd w:id="5"/>
    </w:p>
    <w:p w14:paraId="62789F4D" w14:textId="329966F3" w:rsidR="00E87D50" w:rsidRPr="00B40537" w:rsidRDefault="00B603D6" w:rsidP="00AD747A">
      <w:pPr>
        <w:pStyle w:val="NormalWeb"/>
        <w:spacing w:before="280" w:after="280"/>
        <w:jc w:val="both"/>
        <w:rPr>
          <w:rFonts w:asciiTheme="majorHAnsi" w:hAnsiTheme="majorHAnsi" w:cstheme="majorHAnsi"/>
        </w:rPr>
      </w:pPr>
      <w:r w:rsidRPr="00B40537">
        <w:rPr>
          <w:rFonts w:asciiTheme="majorHAnsi" w:hAnsiTheme="majorHAnsi" w:cstheme="majorHAnsi"/>
        </w:rPr>
        <w:t>At Bury Hospice, our skilled clinical team is central to delivering compassionate, specialist end-of-life care. With advanced training and experience, they manage symptoms, provide pain relief, and support patients and families with dignity and comfort.</w:t>
      </w:r>
    </w:p>
    <w:p w14:paraId="4884253D" w14:textId="7F978615" w:rsidR="00E87D50" w:rsidRPr="00B40537" w:rsidRDefault="00B603D6" w:rsidP="00AD747A">
      <w:pPr>
        <w:pStyle w:val="NormalWeb"/>
        <w:spacing w:before="280" w:after="280"/>
        <w:jc w:val="both"/>
        <w:rPr>
          <w:rFonts w:asciiTheme="majorHAnsi" w:hAnsiTheme="majorHAnsi" w:cstheme="majorHAnsi"/>
        </w:rPr>
      </w:pPr>
      <w:r w:rsidRPr="00B40537">
        <w:rPr>
          <w:rFonts w:asciiTheme="majorHAnsi" w:hAnsiTheme="majorHAnsi" w:cstheme="majorHAnsi"/>
        </w:rPr>
        <w:t>Beyond their expertise, staff bring empathy and understanding to every interaction—guiding difficult conversations, building meaningful connections, and offering reassurance at a profoundly significant time.</w:t>
      </w:r>
    </w:p>
    <w:p w14:paraId="10956DF4" w14:textId="7BE846B8" w:rsidR="00E87D50" w:rsidRPr="00B40537" w:rsidRDefault="00B603D6" w:rsidP="00B3741F">
      <w:pPr>
        <w:pStyle w:val="NormalWeb"/>
        <w:spacing w:before="100" w:after="100"/>
        <w:jc w:val="both"/>
        <w:rPr>
          <w:rFonts w:asciiTheme="majorHAnsi" w:hAnsiTheme="majorHAnsi" w:cstheme="majorHAnsi"/>
        </w:rPr>
      </w:pPr>
      <w:r w:rsidRPr="00B40537">
        <w:rPr>
          <w:rFonts w:asciiTheme="majorHAnsi" w:hAnsiTheme="majorHAnsi" w:cstheme="majorHAnsi"/>
        </w:rPr>
        <w:t>Our workforce truly embodies our values of Respect, Care, Learn, and Inspire, enabling us to deliver high-quality care while working with partners, supporting families, and championing the vital role of hospice services in our community.</w:t>
      </w:r>
    </w:p>
    <w:p w14:paraId="7741E967" w14:textId="18EDEF71" w:rsidR="00E87D50" w:rsidRPr="00B40537" w:rsidRDefault="00B3741F" w:rsidP="006D51DA">
      <w:pPr>
        <w:pStyle w:val="MainLevel"/>
        <w:spacing w:line="240" w:lineRule="auto"/>
        <w:sectPr w:rsidR="00E87D50" w:rsidRPr="00B40537" w:rsidSect="00B40537">
          <w:type w:val="continuous"/>
          <w:pgSz w:w="12240" w:h="15840"/>
          <w:pgMar w:top="1440" w:right="1080" w:bottom="1440" w:left="1080" w:header="0" w:footer="0" w:gutter="0"/>
          <w:cols w:space="720"/>
          <w:formProt w:val="0"/>
          <w:docGrid w:linePitch="360" w:charSpace="4096"/>
        </w:sectPr>
      </w:pPr>
      <w:bookmarkStart w:id="6" w:name="_Toc216792776"/>
      <w:r w:rsidRPr="00B40537">
        <w:rPr>
          <w:noProof/>
          <w:lang w:val="en-GB" w:eastAsia="en-GB"/>
        </w:rPr>
        <w:lastRenderedPageBreak/>
        <w:drawing>
          <wp:anchor distT="0" distB="0" distL="114300" distR="114300" simplePos="0" relativeHeight="251672576" behindDoc="0" locked="0" layoutInCell="1" allowOverlap="1" wp14:anchorId="20177852" wp14:editId="64C68673">
            <wp:simplePos x="0" y="0"/>
            <wp:positionH relativeFrom="margin">
              <wp:align>right</wp:align>
            </wp:positionH>
            <wp:positionV relativeFrom="margin">
              <wp:align>top</wp:align>
            </wp:positionV>
            <wp:extent cx="1181100" cy="670560"/>
            <wp:effectExtent l="0" t="0" r="0" b="0"/>
            <wp:wrapSquare wrapText="bothSides"/>
            <wp:docPr id="10" name="Picture 2"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A close-up of a logo&#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181100" cy="670560"/>
                    </a:xfrm>
                    <a:prstGeom prst="rect">
                      <a:avLst/>
                    </a:prstGeom>
                  </pic:spPr>
                </pic:pic>
              </a:graphicData>
            </a:graphic>
          </wp:anchor>
        </w:drawing>
      </w:r>
      <w:r w:rsidR="00B603D6" w:rsidRPr="00B40537">
        <w:t>Care Quali</w:t>
      </w:r>
      <w:r w:rsidR="00AD747A" w:rsidRPr="00B40537">
        <w:t>ty Commission Quality Monitorin</w:t>
      </w:r>
      <w:r w:rsidR="006D51DA" w:rsidRPr="00B40537">
        <w:t>g</w:t>
      </w:r>
      <w:bookmarkEnd w:id="6"/>
    </w:p>
    <w:p w14:paraId="36A403C3" w14:textId="681C1004" w:rsidR="00E87D50" w:rsidRPr="00B40537" w:rsidRDefault="00E87D50" w:rsidP="00AD747A">
      <w:pPr>
        <w:pStyle w:val="ListBullet"/>
        <w:numPr>
          <w:ilvl w:val="0"/>
          <w:numId w:val="0"/>
        </w:numPr>
        <w:jc w:val="both"/>
        <w:rPr>
          <w:rFonts w:asciiTheme="majorHAnsi" w:hAnsiTheme="majorHAnsi" w:cstheme="majorHAnsi"/>
          <w:b/>
          <w:bCs/>
          <w:color w:val="5F497A" w:themeColor="accent4" w:themeShade="BF"/>
          <w:sz w:val="28"/>
          <w:szCs w:val="28"/>
          <w:u w:val="single"/>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3D1B45CB" w14:textId="64C18E2A" w:rsidR="006D51DA" w:rsidRPr="00B40537" w:rsidRDefault="00B603D6" w:rsidP="006D51D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Bury Hospice is registered with the Care Quality Commission (CQC) to provide the following services: Treatment of disease, disorder, or injury.</w:t>
      </w:r>
    </w:p>
    <w:p w14:paraId="7077C822" w14:textId="77777777" w:rsidR="006D51DA" w:rsidRPr="00B40537" w:rsidRDefault="006D51DA" w:rsidP="006D51DA">
      <w:pPr>
        <w:pStyle w:val="ListBullet"/>
        <w:numPr>
          <w:ilvl w:val="0"/>
          <w:numId w:val="0"/>
        </w:numPr>
        <w:spacing w:line="240" w:lineRule="auto"/>
        <w:jc w:val="both"/>
        <w:rPr>
          <w:rFonts w:asciiTheme="majorHAnsi" w:hAnsiTheme="majorHAnsi" w:cstheme="majorHAnsi"/>
          <w:sz w:val="24"/>
          <w:szCs w:val="24"/>
        </w:rPr>
      </w:pPr>
    </w:p>
    <w:p w14:paraId="144AB37A" w14:textId="77777777" w:rsidR="006D51DA" w:rsidRPr="00B40537" w:rsidRDefault="006D51DA" w:rsidP="006D51DA">
      <w:pPr>
        <w:pStyle w:val="ListBullet"/>
        <w:numPr>
          <w:ilvl w:val="0"/>
          <w:numId w:val="0"/>
        </w:numPr>
        <w:jc w:val="both"/>
        <w:rPr>
          <w:rFonts w:asciiTheme="majorHAnsi" w:hAnsiTheme="majorHAnsi" w:cstheme="majorHAnsi"/>
          <w:sz w:val="24"/>
          <w:szCs w:val="24"/>
        </w:rPr>
        <w:sectPr w:rsidR="006D51DA" w:rsidRPr="00B40537" w:rsidSect="00B40537">
          <w:type w:val="continuous"/>
          <w:pgSz w:w="12240" w:h="15840"/>
          <w:pgMar w:top="1440" w:right="1080" w:bottom="1440" w:left="1080" w:header="0" w:footer="0" w:gutter="0"/>
          <w:cols w:space="720"/>
          <w:formProt w:val="0"/>
          <w:docGrid w:linePitch="360" w:charSpace="4096"/>
        </w:sectPr>
      </w:pPr>
    </w:p>
    <w:p w14:paraId="0F0B5431" w14:textId="08ABE71A" w:rsidR="00E87D50" w:rsidRPr="00B40537" w:rsidRDefault="00B603D6" w:rsidP="00AD747A">
      <w:pPr>
        <w:pStyle w:val="ListBullet"/>
        <w:numPr>
          <w:ilvl w:val="0"/>
          <w:numId w:val="0"/>
        </w:numPr>
        <w:spacing w:line="240" w:lineRule="auto"/>
        <w:jc w:val="both"/>
        <w:rPr>
          <w:rFonts w:asciiTheme="majorHAnsi" w:hAnsiTheme="majorHAnsi" w:cstheme="majorHAnsi"/>
          <w:sz w:val="24"/>
          <w:szCs w:val="24"/>
        </w:rPr>
      </w:pPr>
      <w:r w:rsidRPr="00B40537">
        <w:rPr>
          <w:rFonts w:asciiTheme="majorHAnsi" w:hAnsiTheme="majorHAnsi" w:cstheme="majorHAnsi"/>
          <w:sz w:val="24"/>
          <w:szCs w:val="24"/>
        </w:rPr>
        <w:t>In 2023, the CQC introduced a new inspection framework focused on person-centred care, learning, and safety. Bury Hospice remains committed to compliance across the five domains: Safe, Effective, Caring, Responsive, and Well-led. Between 19 August and 5 September 2024, inspectors assessed us against eight quality statements within the Safe, Effective, Responsive, and Well-led domains.</w:t>
      </w:r>
    </w:p>
    <w:p w14:paraId="40A9907A" w14:textId="77777777" w:rsidR="00E87D50" w:rsidRPr="00B40537" w:rsidRDefault="00E87D50" w:rsidP="00AD747A">
      <w:pPr>
        <w:pStyle w:val="ListBullet"/>
        <w:numPr>
          <w:ilvl w:val="0"/>
          <w:numId w:val="0"/>
        </w:numPr>
        <w:spacing w:line="240" w:lineRule="auto"/>
        <w:jc w:val="both"/>
        <w:rPr>
          <w:rFonts w:asciiTheme="majorHAnsi" w:hAnsiTheme="majorHAnsi" w:cstheme="majorHAnsi"/>
          <w:sz w:val="24"/>
          <w:szCs w:val="24"/>
        </w:rPr>
      </w:pPr>
    </w:p>
    <w:p w14:paraId="44186665" w14:textId="77777777" w:rsidR="00E87D50" w:rsidRPr="00B40537" w:rsidRDefault="00B603D6" w:rsidP="006D51DA">
      <w:pPr>
        <w:pStyle w:val="ListBullet"/>
        <w:numPr>
          <w:ilvl w:val="0"/>
          <w:numId w:val="0"/>
        </w:numPr>
        <w:spacing w:line="360" w:lineRule="auto"/>
        <w:jc w:val="both"/>
        <w:rPr>
          <w:rFonts w:asciiTheme="majorHAnsi" w:hAnsiTheme="majorHAnsi" w:cstheme="majorHAnsi"/>
          <w:sz w:val="24"/>
          <w:szCs w:val="24"/>
        </w:rPr>
      </w:pPr>
      <w:r w:rsidRPr="00B40537">
        <w:rPr>
          <w:rFonts w:asciiTheme="majorHAnsi" w:hAnsiTheme="majorHAnsi" w:cstheme="majorHAnsi"/>
          <w:noProof/>
          <w:lang w:val="en-GB" w:eastAsia="en-GB"/>
        </w:rPr>
        <w:drawing>
          <wp:inline distT="0" distB="0" distL="0" distR="0" wp14:anchorId="244931D1" wp14:editId="775D0A5E">
            <wp:extent cx="4369982" cy="2104390"/>
            <wp:effectExtent l="0" t="0" r="0" b="0"/>
            <wp:docPr id="11"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A screenshot of a computer&#10;&#10;AI-generated content may be incorrect."/>
                    <pic:cNvPicPr>
                      <a:picLocks noChangeAspect="1" noChangeArrowheads="1"/>
                    </pic:cNvPicPr>
                  </pic:nvPicPr>
                  <pic:blipFill>
                    <a:blip r:embed="rId19"/>
                    <a:stretch>
                      <a:fillRect/>
                    </a:stretch>
                  </pic:blipFill>
                  <pic:spPr bwMode="auto">
                    <a:xfrm>
                      <a:off x="0" y="0"/>
                      <a:ext cx="4414577" cy="2125865"/>
                    </a:xfrm>
                    <a:prstGeom prst="rect">
                      <a:avLst/>
                    </a:prstGeom>
                  </pic:spPr>
                </pic:pic>
              </a:graphicData>
            </a:graphic>
          </wp:inline>
        </w:drawing>
      </w:r>
    </w:p>
    <w:p w14:paraId="771D14DE" w14:textId="77777777" w:rsidR="00E87D50" w:rsidRPr="00B40537" w:rsidRDefault="00E87D50" w:rsidP="00AD747A">
      <w:pPr>
        <w:pStyle w:val="ListBullet"/>
        <w:numPr>
          <w:ilvl w:val="0"/>
          <w:numId w:val="0"/>
        </w:numPr>
        <w:spacing w:line="240" w:lineRule="auto"/>
        <w:jc w:val="both"/>
        <w:rPr>
          <w:rFonts w:asciiTheme="majorHAnsi" w:hAnsiTheme="majorHAnsi" w:cstheme="majorHAnsi"/>
          <w:sz w:val="24"/>
          <w:szCs w:val="24"/>
        </w:rPr>
      </w:pPr>
    </w:p>
    <w:p w14:paraId="31B6833B" w14:textId="77777777" w:rsidR="00E87D50" w:rsidRPr="00B40537" w:rsidRDefault="00B603D6" w:rsidP="00AD747A">
      <w:pPr>
        <w:pStyle w:val="ListBullet"/>
        <w:numPr>
          <w:ilvl w:val="0"/>
          <w:numId w:val="0"/>
        </w:numPr>
        <w:spacing w:line="240" w:lineRule="auto"/>
        <w:jc w:val="both"/>
        <w:rPr>
          <w:rFonts w:asciiTheme="majorHAnsi" w:hAnsiTheme="majorHAnsi" w:cstheme="majorHAnsi"/>
          <w:sz w:val="24"/>
          <w:szCs w:val="24"/>
        </w:rPr>
      </w:pPr>
      <w:r w:rsidRPr="00B40537">
        <w:rPr>
          <w:rFonts w:asciiTheme="majorHAnsi" w:hAnsiTheme="majorHAnsi" w:cstheme="majorHAnsi"/>
          <w:sz w:val="24"/>
          <w:szCs w:val="24"/>
        </w:rPr>
        <w:t>The inspection found no regulatory breaches, and Bury Hospice retained its “Good” rating. Inspectors highlighted our high-quality, compassionate care, with patients and families consistently praising the skills, kindness, and dedication of our teams. The report also commended our patient-centred approach—effective pain management, clear communication, and involving people in decisions—as well as the significant impact of our bereavement and family support services.</w:t>
      </w:r>
    </w:p>
    <w:p w14:paraId="41D54E91" w14:textId="77777777" w:rsidR="00E87D50" w:rsidRPr="00B40537" w:rsidRDefault="00E87D50" w:rsidP="00AD747A">
      <w:pPr>
        <w:pStyle w:val="ListBullet"/>
        <w:numPr>
          <w:ilvl w:val="0"/>
          <w:numId w:val="0"/>
        </w:numPr>
        <w:spacing w:line="240" w:lineRule="auto"/>
        <w:ind w:left="360"/>
        <w:jc w:val="both"/>
        <w:rPr>
          <w:rFonts w:asciiTheme="majorHAnsi" w:hAnsiTheme="majorHAnsi" w:cstheme="majorHAnsi"/>
          <w:sz w:val="24"/>
          <w:szCs w:val="24"/>
        </w:rPr>
      </w:pPr>
    </w:p>
    <w:p w14:paraId="69CC8307" w14:textId="77777777" w:rsidR="006D51DA" w:rsidRPr="00B40537" w:rsidRDefault="00B603D6" w:rsidP="006D51DA">
      <w:pPr>
        <w:pStyle w:val="ListBullet"/>
        <w:numPr>
          <w:ilvl w:val="0"/>
          <w:numId w:val="0"/>
        </w:numPr>
        <w:spacing w:line="240" w:lineRule="auto"/>
        <w:jc w:val="both"/>
        <w:rPr>
          <w:rFonts w:asciiTheme="majorHAnsi" w:hAnsiTheme="majorHAnsi" w:cstheme="majorHAnsi"/>
          <w:sz w:val="24"/>
          <w:szCs w:val="24"/>
        </w:rPr>
      </w:pPr>
      <w:r w:rsidRPr="00B40537">
        <w:rPr>
          <w:rFonts w:asciiTheme="majorHAnsi" w:hAnsiTheme="majorHAnsi" w:cstheme="majorHAnsi"/>
          <w:sz w:val="24"/>
          <w:szCs w:val="24"/>
        </w:rPr>
        <w:t>This result demonstrates that our strategic focus on building strong foundations has been successful and supports our vision to ensure all patients and families in Bury receive outstanding, compassionate care throughout their palliative and end-of-life journeys. We continue to hold regular quality reviews with Integrated Care Partnership (ICP) colleagues, who remain pleased with our performance.</w:t>
      </w:r>
    </w:p>
    <w:p w14:paraId="75FAB8A6" w14:textId="05599648" w:rsidR="00E87D50" w:rsidRPr="00B40537" w:rsidRDefault="00B603D6" w:rsidP="006D51DA">
      <w:pPr>
        <w:pStyle w:val="MainLevel"/>
      </w:pPr>
      <w:bookmarkStart w:id="7" w:name="_Toc216792777"/>
      <w:r w:rsidRPr="00B40537">
        <w:t>Equality, Diversity, and Inclusion</w:t>
      </w:r>
      <w:bookmarkEnd w:id="7"/>
    </w:p>
    <w:p w14:paraId="2E8AA600"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Bury Hospice fosters a compassionate, inclusive culture, promoting equality of access, experience, and outcomes for patients, carers, staff, and the wider community. We value diversity and ensure everyone feels welcome and respected.</w:t>
      </w:r>
    </w:p>
    <w:p w14:paraId="180F24D8"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As both a healthcare provider and employer, we meet our legal duties under the NHS Constitution, Care Quality Commission standards, and legislation including the Equality Act 2010, Human Rights Act 1998, Mental Capacity Act 2005, and Health and Care Act 2022.</w:t>
      </w:r>
    </w:p>
    <w:p w14:paraId="180539F4"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lastRenderedPageBreak/>
        <w:t>Our principles:</w:t>
      </w:r>
    </w:p>
    <w:p w14:paraId="1B8D040F" w14:textId="77777777" w:rsidR="00E87D50" w:rsidRPr="00B40537" w:rsidRDefault="00B603D6" w:rsidP="00AD747A">
      <w:pPr>
        <w:pStyle w:val="ListParagraph"/>
        <w:numPr>
          <w:ilvl w:val="0"/>
          <w:numId w:val="10"/>
        </w:numPr>
        <w:jc w:val="both"/>
        <w:rPr>
          <w:rFonts w:asciiTheme="majorHAnsi" w:hAnsiTheme="majorHAnsi" w:cstheme="majorHAnsi"/>
          <w:sz w:val="24"/>
          <w:szCs w:val="24"/>
        </w:rPr>
      </w:pPr>
      <w:r w:rsidRPr="00B40537">
        <w:rPr>
          <w:rFonts w:asciiTheme="majorHAnsi" w:hAnsiTheme="majorHAnsi" w:cstheme="majorHAnsi"/>
          <w:sz w:val="24"/>
          <w:szCs w:val="24"/>
        </w:rPr>
        <w:t>Equality – ensuring fairness and preventing discrimination.</w:t>
      </w:r>
    </w:p>
    <w:p w14:paraId="0BE172B1" w14:textId="77777777" w:rsidR="00E87D50" w:rsidRPr="00B40537" w:rsidRDefault="00B603D6" w:rsidP="00AD747A">
      <w:pPr>
        <w:pStyle w:val="ListParagraph"/>
        <w:numPr>
          <w:ilvl w:val="0"/>
          <w:numId w:val="10"/>
        </w:numPr>
        <w:jc w:val="both"/>
        <w:rPr>
          <w:rFonts w:asciiTheme="majorHAnsi" w:hAnsiTheme="majorHAnsi" w:cstheme="majorHAnsi"/>
          <w:sz w:val="24"/>
          <w:szCs w:val="24"/>
        </w:rPr>
      </w:pPr>
      <w:r w:rsidRPr="00B40537">
        <w:rPr>
          <w:rFonts w:asciiTheme="majorHAnsi" w:hAnsiTheme="majorHAnsi" w:cstheme="majorHAnsi"/>
          <w:sz w:val="24"/>
          <w:szCs w:val="24"/>
        </w:rPr>
        <w:t>Diversity – recognizing and valuing individual differences.</w:t>
      </w:r>
    </w:p>
    <w:p w14:paraId="62F9AF77" w14:textId="77777777" w:rsidR="00E87D50" w:rsidRPr="00B40537" w:rsidRDefault="00B603D6" w:rsidP="00AD747A">
      <w:pPr>
        <w:pStyle w:val="ListParagraph"/>
        <w:numPr>
          <w:ilvl w:val="0"/>
          <w:numId w:val="10"/>
        </w:numPr>
        <w:jc w:val="both"/>
        <w:rPr>
          <w:rFonts w:asciiTheme="majorHAnsi" w:hAnsiTheme="majorHAnsi" w:cstheme="majorHAnsi"/>
          <w:sz w:val="24"/>
          <w:szCs w:val="24"/>
        </w:rPr>
      </w:pPr>
      <w:r w:rsidRPr="00B40537">
        <w:rPr>
          <w:rFonts w:asciiTheme="majorHAnsi" w:hAnsiTheme="majorHAnsi" w:cstheme="majorHAnsi"/>
          <w:sz w:val="24"/>
          <w:szCs w:val="24"/>
        </w:rPr>
        <w:t>Inclusion – creating a culture where everyone belongs.</w:t>
      </w:r>
    </w:p>
    <w:p w14:paraId="1FCD46CB" w14:textId="77777777" w:rsidR="00E87D50" w:rsidRPr="00B40537" w:rsidRDefault="00B603D6" w:rsidP="00AD747A">
      <w:pPr>
        <w:pStyle w:val="ListParagraph"/>
        <w:numPr>
          <w:ilvl w:val="0"/>
          <w:numId w:val="10"/>
        </w:numPr>
        <w:jc w:val="both"/>
        <w:rPr>
          <w:rFonts w:asciiTheme="majorHAnsi" w:hAnsiTheme="majorHAnsi" w:cstheme="majorHAnsi"/>
          <w:sz w:val="24"/>
          <w:szCs w:val="24"/>
        </w:rPr>
      </w:pPr>
      <w:r w:rsidRPr="00B40537">
        <w:rPr>
          <w:rFonts w:asciiTheme="majorHAnsi" w:hAnsiTheme="majorHAnsi" w:cstheme="majorHAnsi"/>
          <w:sz w:val="24"/>
          <w:szCs w:val="24"/>
        </w:rPr>
        <w:t>Discrimination – challenging negative attitudes and behaviours that disadvantage people.</w:t>
      </w:r>
    </w:p>
    <w:p w14:paraId="21219611"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collect equality monitoring information (e.g., age, ethnicity, religion) to better understand and meet the needs of our community. All data is held securely, anonymised for reporting, and analyzed to address inequalities, particularly for minority and disadvantaged groups.</w:t>
      </w:r>
    </w:p>
    <w:p w14:paraId="2086C61F"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We use workforce equality data to strengthen our inclusive culture and recruitment processes, supported by:</w:t>
      </w:r>
    </w:p>
    <w:p w14:paraId="6D6B52B9" w14:textId="77777777" w:rsidR="00E87D50" w:rsidRPr="00B40537" w:rsidRDefault="00B603D6" w:rsidP="00AD747A">
      <w:pPr>
        <w:pStyle w:val="ListParagraph"/>
        <w:numPr>
          <w:ilvl w:val="0"/>
          <w:numId w:val="11"/>
        </w:numPr>
        <w:jc w:val="both"/>
        <w:rPr>
          <w:rFonts w:asciiTheme="majorHAnsi" w:hAnsiTheme="majorHAnsi" w:cstheme="majorHAnsi"/>
          <w:sz w:val="24"/>
          <w:szCs w:val="24"/>
        </w:rPr>
      </w:pPr>
      <w:r w:rsidRPr="00B40537">
        <w:rPr>
          <w:rFonts w:asciiTheme="majorHAnsi" w:hAnsiTheme="majorHAnsi" w:cstheme="majorHAnsi"/>
          <w:sz w:val="24"/>
          <w:szCs w:val="24"/>
        </w:rPr>
        <w:t>Workforce Race Equality Standard (WRES)</w:t>
      </w:r>
    </w:p>
    <w:p w14:paraId="49517DA4" w14:textId="77777777" w:rsidR="00E87D50" w:rsidRPr="00B40537" w:rsidRDefault="00B603D6" w:rsidP="00AD747A">
      <w:pPr>
        <w:pStyle w:val="ListParagraph"/>
        <w:numPr>
          <w:ilvl w:val="0"/>
          <w:numId w:val="11"/>
        </w:numPr>
        <w:jc w:val="both"/>
        <w:rPr>
          <w:rFonts w:asciiTheme="majorHAnsi" w:hAnsiTheme="majorHAnsi" w:cstheme="majorHAnsi"/>
          <w:sz w:val="24"/>
          <w:szCs w:val="24"/>
        </w:rPr>
      </w:pPr>
      <w:r w:rsidRPr="00B40537">
        <w:rPr>
          <w:rFonts w:asciiTheme="majorHAnsi" w:hAnsiTheme="majorHAnsi" w:cstheme="majorHAnsi"/>
          <w:sz w:val="24"/>
          <w:szCs w:val="24"/>
        </w:rPr>
        <w:t>Workforce Disability Equality Standard (WDES)</w:t>
      </w:r>
    </w:p>
    <w:p w14:paraId="564DCEEC" w14:textId="77777777" w:rsidR="00E87D50" w:rsidRPr="00B40537" w:rsidRDefault="00B603D6" w:rsidP="006D51DA">
      <w:pPr>
        <w:pStyle w:val="Level1"/>
        <w:outlineLvl w:val="1"/>
      </w:pPr>
      <w:bookmarkStart w:id="8" w:name="_Toc216792778"/>
      <w:r w:rsidRPr="00B40537">
        <w:t>Workforce profile (31 March 2025):</w:t>
      </w:r>
      <w:bookmarkEnd w:id="8"/>
    </w:p>
    <w:p w14:paraId="0208257B"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As of the 31</w:t>
      </w:r>
      <w:r w:rsidRPr="00B40537">
        <w:rPr>
          <w:rFonts w:asciiTheme="majorHAnsi" w:hAnsiTheme="majorHAnsi" w:cstheme="majorHAnsi"/>
          <w:sz w:val="24"/>
          <w:szCs w:val="24"/>
          <w:vertAlign w:val="superscript"/>
        </w:rPr>
        <w:t xml:space="preserve">st </w:t>
      </w:r>
      <w:r w:rsidRPr="00B40537">
        <w:rPr>
          <w:rFonts w:asciiTheme="majorHAnsi" w:hAnsiTheme="majorHAnsi" w:cstheme="majorHAnsi"/>
          <w:sz w:val="24"/>
          <w:szCs w:val="24"/>
        </w:rPr>
        <w:t xml:space="preserve">March 2025, the </w:t>
      </w:r>
      <w:r w:rsidR="003F6DC9" w:rsidRPr="00B40537">
        <w:rPr>
          <w:rFonts w:asciiTheme="majorHAnsi" w:hAnsiTheme="majorHAnsi" w:cstheme="majorHAnsi"/>
          <w:sz w:val="24"/>
          <w:szCs w:val="24"/>
        </w:rPr>
        <w:t>organisations</w:t>
      </w:r>
      <w:r w:rsidRPr="00B40537">
        <w:rPr>
          <w:rFonts w:asciiTheme="majorHAnsi" w:hAnsiTheme="majorHAnsi" w:cstheme="majorHAnsi"/>
          <w:sz w:val="24"/>
          <w:szCs w:val="24"/>
        </w:rPr>
        <w:t xml:space="preserve"> gender make-up continues to be female in the majority, at 87% female and 13% male. </w:t>
      </w:r>
    </w:p>
    <w:p w14:paraId="0D9288D3" w14:textId="6C26989E" w:rsidR="00E87D50" w:rsidRPr="00B40537" w:rsidRDefault="00B40537"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73600" behindDoc="1" locked="0" layoutInCell="1" allowOverlap="1" wp14:anchorId="174AAAC5" wp14:editId="28134F0C">
            <wp:simplePos x="0" y="0"/>
            <wp:positionH relativeFrom="margin">
              <wp:posOffset>933450</wp:posOffset>
            </wp:positionH>
            <wp:positionV relativeFrom="paragraph">
              <wp:posOffset>708660</wp:posOffset>
            </wp:positionV>
            <wp:extent cx="4532400" cy="2376000"/>
            <wp:effectExtent l="0" t="0" r="1905" b="5715"/>
            <wp:wrapTopAndBottom/>
            <wp:docPr id="1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 xml:space="preserve">The age range of our staff is detailed in the table below, with the 50 – 69 age groups making up a total of 53% of our workforce: </w:t>
      </w:r>
    </w:p>
    <w:p w14:paraId="4997AF6A" w14:textId="11184BF4" w:rsidR="00E87D50" w:rsidRPr="00B40537" w:rsidRDefault="00E87D50" w:rsidP="00AD747A">
      <w:pPr>
        <w:jc w:val="both"/>
        <w:rPr>
          <w:rFonts w:asciiTheme="majorHAnsi" w:hAnsiTheme="majorHAnsi" w:cstheme="majorHAnsi"/>
          <w:sz w:val="24"/>
          <w:szCs w:val="24"/>
        </w:rPr>
      </w:pPr>
    </w:p>
    <w:p w14:paraId="5FCEB648" w14:textId="77777777" w:rsidR="00B40537" w:rsidRDefault="00B40537" w:rsidP="00AD747A">
      <w:pPr>
        <w:jc w:val="both"/>
        <w:rPr>
          <w:rFonts w:asciiTheme="majorHAnsi" w:hAnsiTheme="majorHAnsi" w:cstheme="majorHAnsi"/>
          <w:sz w:val="24"/>
          <w:szCs w:val="24"/>
        </w:rPr>
      </w:pPr>
    </w:p>
    <w:p w14:paraId="1B243438" w14:textId="77777777" w:rsidR="00B40537" w:rsidRDefault="00B40537" w:rsidP="00AD747A">
      <w:pPr>
        <w:jc w:val="both"/>
        <w:rPr>
          <w:rFonts w:asciiTheme="majorHAnsi" w:hAnsiTheme="majorHAnsi" w:cstheme="majorHAnsi"/>
          <w:sz w:val="24"/>
          <w:szCs w:val="24"/>
        </w:rPr>
      </w:pPr>
    </w:p>
    <w:p w14:paraId="5B315F28" w14:textId="27AFB7A0"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lastRenderedPageBreak/>
        <w:t xml:space="preserve">The ethnic background of our employees showed that 40% had not declared their ethnicity and the biggest percentage identified as White-British (55%). </w:t>
      </w:r>
    </w:p>
    <w:p w14:paraId="101C5FB8"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2B90D5AF" w14:textId="77777777" w:rsidR="00E87D50" w:rsidRPr="00B40537" w:rsidRDefault="000B3F7C" w:rsidP="00AD747A">
      <w:pPr>
        <w:jc w:val="both"/>
        <w:rPr>
          <w:rFonts w:asciiTheme="majorHAnsi" w:hAnsiTheme="majorHAnsi" w:cstheme="majorHAnsi"/>
          <w:sz w:val="24"/>
          <w:szCs w:val="24"/>
          <w:u w:val="single"/>
        </w:rPr>
      </w:pPr>
      <w:r w:rsidRPr="00B40537">
        <w:rPr>
          <w:rFonts w:asciiTheme="majorHAnsi" w:hAnsiTheme="majorHAnsi" w:cstheme="majorHAnsi"/>
          <w:noProof/>
          <w:lang w:val="en-GB" w:eastAsia="en-GB"/>
        </w:rPr>
        <w:drawing>
          <wp:anchor distT="0" distB="0" distL="114300" distR="114300" simplePos="0" relativeHeight="251658240" behindDoc="0" locked="0" layoutInCell="1" allowOverlap="1" wp14:anchorId="0FFCA32C" wp14:editId="16ABB095">
            <wp:simplePos x="0" y="0"/>
            <wp:positionH relativeFrom="margin">
              <wp:posOffset>440690</wp:posOffset>
            </wp:positionH>
            <wp:positionV relativeFrom="paragraph">
              <wp:posOffset>0</wp:posOffset>
            </wp:positionV>
            <wp:extent cx="4533265" cy="2392045"/>
            <wp:effectExtent l="0" t="0" r="635" b="8255"/>
            <wp:wrapSquare wrapText="bothSides"/>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6E626B1F"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num="2" w:space="720"/>
          <w:formProt w:val="0"/>
          <w:docGrid w:linePitch="360" w:charSpace="4096"/>
        </w:sectPr>
      </w:pPr>
    </w:p>
    <w:p w14:paraId="50B46837" w14:textId="6CDCCCE1" w:rsidR="00B603D6" w:rsidRPr="00B40537" w:rsidRDefault="00B603D6" w:rsidP="00AD747A">
      <w:pPr>
        <w:jc w:val="both"/>
        <w:rPr>
          <w:rFonts w:asciiTheme="majorHAnsi" w:hAnsiTheme="majorHAnsi" w:cstheme="majorHAnsi"/>
          <w:sz w:val="24"/>
          <w:szCs w:val="24"/>
        </w:rPr>
      </w:pPr>
    </w:p>
    <w:p w14:paraId="340EEBCF" w14:textId="3502895F" w:rsidR="000B3F7C" w:rsidRPr="00B40537" w:rsidRDefault="000B3F7C" w:rsidP="00AD747A">
      <w:pPr>
        <w:jc w:val="both"/>
        <w:rPr>
          <w:rFonts w:asciiTheme="majorHAnsi" w:hAnsiTheme="majorHAnsi" w:cstheme="majorHAnsi"/>
          <w:sz w:val="24"/>
          <w:szCs w:val="24"/>
        </w:rPr>
      </w:pPr>
    </w:p>
    <w:p w14:paraId="3B793845" w14:textId="78C310B7" w:rsidR="000B3F7C" w:rsidRPr="00B40537" w:rsidRDefault="000B3F7C" w:rsidP="00AD747A">
      <w:pPr>
        <w:jc w:val="both"/>
        <w:rPr>
          <w:rFonts w:asciiTheme="majorHAnsi" w:hAnsiTheme="majorHAnsi" w:cstheme="majorHAnsi"/>
          <w:sz w:val="24"/>
          <w:szCs w:val="24"/>
        </w:rPr>
      </w:pPr>
    </w:p>
    <w:p w14:paraId="34708144" w14:textId="77777777" w:rsidR="000B3F7C" w:rsidRPr="00B40537" w:rsidRDefault="000B3F7C" w:rsidP="00AD747A">
      <w:pPr>
        <w:jc w:val="both"/>
        <w:rPr>
          <w:rFonts w:asciiTheme="majorHAnsi" w:hAnsiTheme="majorHAnsi" w:cstheme="majorHAnsi"/>
          <w:sz w:val="24"/>
          <w:szCs w:val="24"/>
        </w:rPr>
      </w:pPr>
    </w:p>
    <w:p w14:paraId="5B1BCB25" w14:textId="77777777" w:rsidR="000B3F7C" w:rsidRPr="00B40537" w:rsidRDefault="000B3F7C" w:rsidP="00AD747A">
      <w:pPr>
        <w:jc w:val="both"/>
        <w:rPr>
          <w:rFonts w:asciiTheme="majorHAnsi" w:hAnsiTheme="majorHAnsi" w:cstheme="majorHAnsi"/>
          <w:sz w:val="24"/>
          <w:szCs w:val="24"/>
        </w:rPr>
      </w:pPr>
    </w:p>
    <w:p w14:paraId="544D222E" w14:textId="09FBDAD6" w:rsidR="000B3F7C" w:rsidRPr="00B40537" w:rsidRDefault="000B3F7C" w:rsidP="00AD747A">
      <w:pPr>
        <w:jc w:val="both"/>
        <w:rPr>
          <w:rFonts w:asciiTheme="majorHAnsi" w:hAnsiTheme="majorHAnsi" w:cstheme="majorHAnsi"/>
          <w:sz w:val="24"/>
          <w:szCs w:val="24"/>
        </w:rPr>
      </w:pPr>
    </w:p>
    <w:p w14:paraId="0D6D2537" w14:textId="24ED4547" w:rsidR="006D51DA" w:rsidRPr="00B40537" w:rsidRDefault="006D51DA" w:rsidP="00AD747A">
      <w:pPr>
        <w:jc w:val="both"/>
        <w:rPr>
          <w:rFonts w:asciiTheme="majorHAnsi" w:hAnsiTheme="majorHAnsi" w:cstheme="majorHAnsi"/>
          <w:sz w:val="24"/>
          <w:szCs w:val="24"/>
        </w:rPr>
      </w:pPr>
    </w:p>
    <w:p w14:paraId="2E253373" w14:textId="13A72F1B"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The Hospice operates a fair, inclusive, and non-discriminatory recruitment process, selecting candidates solely on their suitability for the role, as defined by clear job profiles, person specifications, and transparent interviews.</w:t>
      </w:r>
    </w:p>
    <w:p w14:paraId="64339C77" w14:textId="09D25575"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Vacancies are widely advertised to reach all sections of the community, and all applicants complete an equal opportunity monitoring form. Where under-representation is identified, we will, where appropriate:</w:t>
      </w:r>
    </w:p>
    <w:p w14:paraId="2B066B55" w14:textId="77777777" w:rsidR="00E87D50" w:rsidRPr="00B40537" w:rsidRDefault="00B603D6" w:rsidP="00AD747A">
      <w:pPr>
        <w:pStyle w:val="ListParagraph"/>
        <w:numPr>
          <w:ilvl w:val="0"/>
          <w:numId w:val="9"/>
        </w:numPr>
        <w:jc w:val="both"/>
        <w:rPr>
          <w:rFonts w:asciiTheme="majorHAnsi" w:hAnsiTheme="majorHAnsi" w:cstheme="majorHAnsi"/>
          <w:sz w:val="24"/>
          <w:szCs w:val="24"/>
        </w:rPr>
      </w:pPr>
      <w:r w:rsidRPr="00B40537">
        <w:rPr>
          <w:rFonts w:asciiTheme="majorHAnsi" w:hAnsiTheme="majorHAnsi" w:cstheme="majorHAnsi"/>
          <w:sz w:val="24"/>
          <w:szCs w:val="24"/>
        </w:rPr>
        <w:t>Positively encourage applications from those groups.</w:t>
      </w:r>
    </w:p>
    <w:p w14:paraId="30505726" w14:textId="0F8B1B50" w:rsidR="00E87D50" w:rsidRPr="00B40537" w:rsidRDefault="00B603D6" w:rsidP="00AD747A">
      <w:pPr>
        <w:pStyle w:val="ListParagraph"/>
        <w:numPr>
          <w:ilvl w:val="0"/>
          <w:numId w:val="9"/>
        </w:numPr>
        <w:jc w:val="both"/>
        <w:rPr>
          <w:rFonts w:asciiTheme="majorHAnsi" w:hAnsiTheme="majorHAnsi" w:cstheme="majorHAnsi"/>
          <w:sz w:val="24"/>
          <w:szCs w:val="24"/>
        </w:rPr>
      </w:pPr>
      <w:r w:rsidRPr="00B40537">
        <w:rPr>
          <w:rFonts w:asciiTheme="majorHAnsi" w:hAnsiTheme="majorHAnsi" w:cstheme="majorHAnsi"/>
          <w:sz w:val="24"/>
          <w:szCs w:val="24"/>
        </w:rPr>
        <w:t>Advertise through channels that reach them, including specialist media.</w:t>
      </w:r>
    </w:p>
    <w:p w14:paraId="152C1A49" w14:textId="77777777" w:rsidR="00E87D50" w:rsidRPr="00B40537" w:rsidRDefault="00B603D6" w:rsidP="00AD747A">
      <w:pPr>
        <w:pStyle w:val="ListParagraph"/>
        <w:numPr>
          <w:ilvl w:val="0"/>
          <w:numId w:val="9"/>
        </w:numPr>
        <w:jc w:val="both"/>
        <w:rPr>
          <w:rFonts w:asciiTheme="majorHAnsi" w:hAnsiTheme="majorHAnsi" w:cstheme="majorHAnsi"/>
          <w:sz w:val="24"/>
          <w:szCs w:val="24"/>
        </w:rPr>
      </w:pPr>
      <w:r w:rsidRPr="00B40537">
        <w:rPr>
          <w:rFonts w:asciiTheme="majorHAnsi" w:hAnsiTheme="majorHAnsi" w:cstheme="majorHAnsi"/>
          <w:sz w:val="24"/>
          <w:szCs w:val="24"/>
        </w:rPr>
        <w:t>Request guidance from agencies such as Job Centre Plus.</w:t>
      </w:r>
    </w:p>
    <w:p w14:paraId="57F90EF3" w14:textId="77777777" w:rsidR="00E87D50" w:rsidRPr="00B40537" w:rsidRDefault="00B603D6" w:rsidP="00AD747A">
      <w:pPr>
        <w:pStyle w:val="ListParagraph"/>
        <w:numPr>
          <w:ilvl w:val="0"/>
          <w:numId w:val="9"/>
        </w:numPr>
        <w:jc w:val="both"/>
        <w:rPr>
          <w:rFonts w:asciiTheme="majorHAnsi" w:hAnsiTheme="majorHAnsi" w:cstheme="majorHAnsi"/>
          <w:sz w:val="24"/>
          <w:szCs w:val="24"/>
        </w:rPr>
      </w:pPr>
      <w:r w:rsidRPr="00B40537">
        <w:rPr>
          <w:rFonts w:asciiTheme="majorHAnsi" w:hAnsiTheme="majorHAnsi" w:cstheme="majorHAnsi"/>
          <w:sz w:val="24"/>
          <w:szCs w:val="24"/>
        </w:rPr>
        <w:t>Certify selection principles remain entirely job-related.</w:t>
      </w:r>
    </w:p>
    <w:p w14:paraId="08BF7578" w14:textId="77777777" w:rsidR="00E87D50" w:rsidRPr="00B40537" w:rsidRDefault="00B603D6" w:rsidP="00AD747A">
      <w:pPr>
        <w:pStyle w:val="ListParagraph"/>
        <w:numPr>
          <w:ilvl w:val="0"/>
          <w:numId w:val="9"/>
        </w:numPr>
        <w:jc w:val="both"/>
        <w:rPr>
          <w:rFonts w:asciiTheme="majorHAnsi" w:hAnsiTheme="majorHAnsi" w:cstheme="majorHAnsi"/>
          <w:sz w:val="24"/>
          <w:szCs w:val="24"/>
        </w:rPr>
      </w:pPr>
      <w:r w:rsidRPr="00B40537">
        <w:rPr>
          <w:rFonts w:asciiTheme="majorHAnsi" w:hAnsiTheme="majorHAnsi" w:cstheme="majorHAnsi"/>
          <w:sz w:val="24"/>
          <w:szCs w:val="24"/>
        </w:rPr>
        <w:t>Review policies and practices and consider targeted training for underrepresented groups.</w:t>
      </w:r>
    </w:p>
    <w:p w14:paraId="340A335E" w14:textId="13E0DD64"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In line with legislation, the Hospice may take positive action to support people with protected characteristics to access employment and services on an equitable basis.</w:t>
      </w:r>
    </w:p>
    <w:p w14:paraId="06616E86" w14:textId="0B998B08" w:rsidR="00E87D50" w:rsidRPr="00B40537" w:rsidRDefault="00B603D6" w:rsidP="00B3741F">
      <w:pPr>
        <w:pStyle w:val="Level1"/>
        <w:outlineLvl w:val="1"/>
      </w:pPr>
      <w:bookmarkStart w:id="9" w:name="_Toc216792779"/>
      <w:r w:rsidRPr="00B40537">
        <w:t>Patient/Service User Data:</w:t>
      </w:r>
      <w:bookmarkEnd w:id="9"/>
    </w:p>
    <w:p w14:paraId="62D9C832"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The age profile of Bury Hospice patients is weighted towards older adults, with minimal representation under forty-five. The largest groups are aged 65 and above, peaking in the 75–84 range, followed by those aged 85 and over. The Hospice continues to review service accessibility to ensure that people of all ages can benefit from appropriate care and support.</w:t>
      </w:r>
    </w:p>
    <w:p w14:paraId="57E204DF" w14:textId="79FA2251" w:rsidR="00E87D50" w:rsidRPr="00B40537" w:rsidRDefault="00E87D50" w:rsidP="00AD747A">
      <w:pPr>
        <w:jc w:val="both"/>
        <w:rPr>
          <w:rFonts w:asciiTheme="majorHAnsi" w:hAnsiTheme="majorHAnsi" w:cstheme="majorHAnsi"/>
          <w:b/>
          <w:bCs/>
          <w:color w:val="5F497A" w:themeColor="accent4" w:themeShade="BF"/>
          <w:sz w:val="28"/>
          <w:szCs w:val="28"/>
          <w:u w:val="single"/>
        </w:rPr>
      </w:pPr>
    </w:p>
    <w:p w14:paraId="29F42BE1" w14:textId="77777777" w:rsidR="00B3741F" w:rsidRPr="00B40537" w:rsidRDefault="00B3741F" w:rsidP="00AD747A">
      <w:pPr>
        <w:jc w:val="both"/>
        <w:rPr>
          <w:rFonts w:asciiTheme="majorHAnsi" w:hAnsiTheme="majorHAnsi" w:cstheme="majorHAnsi"/>
          <w:sz w:val="24"/>
          <w:szCs w:val="24"/>
        </w:rPr>
      </w:pPr>
    </w:p>
    <w:p w14:paraId="14E1CFA2" w14:textId="5DA82E0B" w:rsidR="00E87D50" w:rsidRPr="00B40537" w:rsidRDefault="00B3741F"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74624" behindDoc="0" locked="0" layoutInCell="1" allowOverlap="1" wp14:anchorId="5A054A04" wp14:editId="4027B245">
            <wp:simplePos x="0" y="0"/>
            <wp:positionH relativeFrom="margin">
              <wp:align>center</wp:align>
            </wp:positionH>
            <wp:positionV relativeFrom="margin">
              <wp:align>top</wp:align>
            </wp:positionV>
            <wp:extent cx="4532400" cy="1974557"/>
            <wp:effectExtent l="0" t="0" r="1905" b="6985"/>
            <wp:wrapTopAndBottom/>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5"/>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532400" cy="1974557"/>
                    </a:xfrm>
                    <a:prstGeom prst="rect">
                      <a:avLst/>
                    </a:prstGeom>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 xml:space="preserve">In the 2024–25 period, 84% of Bury Hospice patients identified as White, with 4% from other ethnic groups, 1% declining to specify, and 11% unknown. By comparison, the 2021 Census shows that 82.9% of Bury’s general population identified as White. </w:t>
      </w:r>
    </w:p>
    <w:p w14:paraId="35E72D8E" w14:textId="318DE67F" w:rsidR="00E87D50" w:rsidRPr="00B40537" w:rsidRDefault="00B3741F"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75648" behindDoc="0" locked="0" layoutInCell="1" allowOverlap="1" wp14:anchorId="1D1FF1A6" wp14:editId="45F52704">
            <wp:simplePos x="0" y="0"/>
            <wp:positionH relativeFrom="margin">
              <wp:align>center</wp:align>
            </wp:positionH>
            <wp:positionV relativeFrom="paragraph">
              <wp:posOffset>551815</wp:posOffset>
            </wp:positionV>
            <wp:extent cx="4649612" cy="2700000"/>
            <wp:effectExtent l="0" t="0" r="0" b="5715"/>
            <wp:wrapTopAndBottom/>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649612" cy="2700000"/>
                    </a:xfrm>
                    <a:prstGeom prst="rect">
                      <a:avLst/>
                    </a:prstGeom>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That suggests the hospice’s patient ethnicity profile is broadly in line with the local population, though patients from non-White groups appear slightly under-represented.</w:t>
      </w:r>
    </w:p>
    <w:p w14:paraId="441926D0" w14:textId="2F3C2616" w:rsidR="00C1666F" w:rsidRPr="00B40537" w:rsidRDefault="00C1666F" w:rsidP="00AD747A">
      <w:pPr>
        <w:jc w:val="both"/>
        <w:rPr>
          <w:rFonts w:asciiTheme="majorHAnsi" w:hAnsiTheme="majorHAnsi" w:cstheme="majorHAnsi"/>
          <w:b/>
          <w:bCs/>
          <w:color w:val="5F497A" w:themeColor="accent4" w:themeShade="BF"/>
          <w:sz w:val="28"/>
          <w:szCs w:val="28"/>
          <w:u w:val="single"/>
        </w:rPr>
      </w:pPr>
    </w:p>
    <w:p w14:paraId="553BAED9" w14:textId="636C171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In some cases, ethnicity is not recorded for hospice patients due to clinical priorities at the point of admission, the sensitivity of timing, or the patient’s condition preventing completion. Data may also be missed through administrative oversight or if patients, families, or carers decline to provide this information. The Hospice continues to encourage and support full data collection wherever possible, to strengthen equality monitoring and ensure services meet the needs of all communities.</w:t>
      </w:r>
    </w:p>
    <w:p w14:paraId="35D4DDEB" w14:textId="2E0479AC" w:rsidR="00B3741F" w:rsidRDefault="00B3741F" w:rsidP="00AD747A">
      <w:pPr>
        <w:jc w:val="both"/>
        <w:rPr>
          <w:rFonts w:asciiTheme="majorHAnsi" w:hAnsiTheme="majorHAnsi" w:cstheme="majorHAnsi"/>
          <w:sz w:val="24"/>
          <w:szCs w:val="24"/>
        </w:rPr>
      </w:pPr>
    </w:p>
    <w:p w14:paraId="7CBC9552" w14:textId="77777777" w:rsidR="00B40537" w:rsidRPr="00B40537" w:rsidRDefault="00B40537" w:rsidP="00AD747A">
      <w:pPr>
        <w:jc w:val="both"/>
        <w:rPr>
          <w:rFonts w:asciiTheme="majorHAnsi" w:hAnsiTheme="majorHAnsi" w:cstheme="majorHAnsi"/>
          <w:b/>
          <w:bCs/>
          <w:color w:val="5F497A" w:themeColor="accent4" w:themeShade="BF"/>
          <w:sz w:val="28"/>
          <w:szCs w:val="28"/>
          <w:u w:val="single"/>
        </w:rPr>
        <w:sectPr w:rsidR="00B40537" w:rsidRPr="00B40537" w:rsidSect="00B40537">
          <w:type w:val="continuous"/>
          <w:pgSz w:w="12240" w:h="15840"/>
          <w:pgMar w:top="1440" w:right="1080" w:bottom="1440" w:left="1080" w:header="0" w:footer="0" w:gutter="0"/>
          <w:cols w:space="720"/>
          <w:formProt w:val="0"/>
          <w:docGrid w:linePitch="360" w:charSpace="4096"/>
        </w:sectPr>
      </w:pPr>
    </w:p>
    <w:p w14:paraId="6DAFADE2" w14:textId="77777777" w:rsidR="00E87D50" w:rsidRPr="00B40537" w:rsidRDefault="00B603D6" w:rsidP="00B40537">
      <w:pPr>
        <w:pStyle w:val="MainLevel"/>
      </w:pPr>
      <w:bookmarkStart w:id="10" w:name="_Toc216792780"/>
      <w:r w:rsidRPr="00B40537">
        <w:lastRenderedPageBreak/>
        <w:t>Hospice Services</w:t>
      </w:r>
      <w:bookmarkEnd w:id="10"/>
    </w:p>
    <w:p w14:paraId="07AEA09B" w14:textId="77777777" w:rsidR="00E87D50" w:rsidRPr="00B40537" w:rsidRDefault="00B603D6" w:rsidP="00AD747A">
      <w:pPr>
        <w:pStyle w:val="NormalWeb"/>
        <w:spacing w:before="280" w:after="280"/>
        <w:jc w:val="both"/>
        <w:rPr>
          <w:rFonts w:asciiTheme="majorHAnsi" w:hAnsiTheme="majorHAnsi" w:cstheme="majorHAnsi"/>
        </w:rPr>
      </w:pPr>
      <w:r w:rsidRPr="00B40537">
        <w:rPr>
          <w:rFonts w:asciiTheme="majorHAnsi" w:hAnsiTheme="majorHAnsi" w:cstheme="majorHAnsi"/>
        </w:rPr>
        <w:t xml:space="preserve">Our hospice clinical teams delivered timely, compassionate care through the inpatient unit, outreach, liaison, complementary therapy, and bereavement services. Our education team also partnered with health and social care providers to deliver training, extending the hospice’s impact across the community.    </w:t>
      </w:r>
    </w:p>
    <w:p w14:paraId="51540431" w14:textId="77777777" w:rsidR="00E87D50" w:rsidRPr="00B40537" w:rsidRDefault="00B603D6" w:rsidP="00AD747A">
      <w:pPr>
        <w:pStyle w:val="NormalWeb"/>
        <w:spacing w:before="280" w:after="280"/>
        <w:jc w:val="both"/>
        <w:rPr>
          <w:rFonts w:asciiTheme="majorHAnsi" w:hAnsiTheme="majorHAnsi" w:cstheme="majorHAnsi"/>
        </w:rPr>
      </w:pPr>
      <w:r w:rsidRPr="00B40537">
        <w:rPr>
          <w:rFonts w:asciiTheme="majorHAnsi" w:hAnsiTheme="majorHAnsi" w:cstheme="majorHAnsi"/>
        </w:rPr>
        <w:t>There have been some fantastic patient stories over the last twelve months, evidencing the positive impact that all our hospice services make. The key themes from these are:</w:t>
      </w:r>
    </w:p>
    <w:p w14:paraId="1F31BA3F" w14:textId="77777777" w:rsidR="00E87D50" w:rsidRPr="00B40537" w:rsidRDefault="00B603D6" w:rsidP="00AD747A">
      <w:pPr>
        <w:pStyle w:val="NormalWeb"/>
        <w:numPr>
          <w:ilvl w:val="0"/>
          <w:numId w:val="20"/>
        </w:numPr>
        <w:spacing w:before="280" w:after="280"/>
        <w:jc w:val="both"/>
        <w:rPr>
          <w:rFonts w:asciiTheme="majorHAnsi" w:hAnsiTheme="majorHAnsi" w:cstheme="majorHAnsi"/>
        </w:rPr>
      </w:pPr>
      <w:r w:rsidRPr="00B40537">
        <w:rPr>
          <w:rFonts w:asciiTheme="majorHAnsi" w:hAnsiTheme="majorHAnsi" w:cstheme="majorHAnsi"/>
          <w:b/>
        </w:rPr>
        <w:t>Compassionate communication</w:t>
      </w:r>
      <w:r w:rsidRPr="00B40537">
        <w:rPr>
          <w:rFonts w:asciiTheme="majorHAnsi" w:hAnsiTheme="majorHAnsi" w:cstheme="majorHAnsi"/>
        </w:rPr>
        <w:t>: Patients and families have highlighted the positive impact of being heard and understood during emotionally difficult periods</w:t>
      </w:r>
    </w:p>
    <w:p w14:paraId="51C2D2AF" w14:textId="77777777" w:rsidR="00E87D50" w:rsidRPr="00B40537" w:rsidRDefault="00B603D6" w:rsidP="00AD747A">
      <w:pPr>
        <w:pStyle w:val="NormalWeb"/>
        <w:numPr>
          <w:ilvl w:val="0"/>
          <w:numId w:val="20"/>
        </w:numPr>
        <w:spacing w:before="280" w:after="280"/>
        <w:jc w:val="both"/>
        <w:rPr>
          <w:rFonts w:asciiTheme="majorHAnsi" w:hAnsiTheme="majorHAnsi" w:cstheme="majorHAnsi"/>
        </w:rPr>
      </w:pPr>
      <w:r w:rsidRPr="00B40537">
        <w:rPr>
          <w:rFonts w:asciiTheme="majorHAnsi" w:hAnsiTheme="majorHAnsi" w:cstheme="majorHAnsi"/>
          <w:b/>
        </w:rPr>
        <w:t>Personalised care:</w:t>
      </w:r>
      <w:r w:rsidRPr="00B40537">
        <w:rPr>
          <w:rFonts w:asciiTheme="majorHAnsi" w:hAnsiTheme="majorHAnsi" w:cstheme="majorHAnsi"/>
        </w:rPr>
        <w:t xml:space="preserve"> Stories reflect strong adherence to patient values, including religious and cultural preferences, advance care planning, and spiritual support</w:t>
      </w:r>
    </w:p>
    <w:p w14:paraId="3A196E93" w14:textId="77777777" w:rsidR="00E87D50" w:rsidRPr="00B40537" w:rsidRDefault="00B603D6" w:rsidP="00AD747A">
      <w:pPr>
        <w:pStyle w:val="NormalWeb"/>
        <w:numPr>
          <w:ilvl w:val="0"/>
          <w:numId w:val="20"/>
        </w:numPr>
        <w:spacing w:before="280" w:after="280"/>
        <w:jc w:val="both"/>
        <w:rPr>
          <w:rFonts w:asciiTheme="majorHAnsi" w:hAnsiTheme="majorHAnsi" w:cstheme="majorHAnsi"/>
        </w:rPr>
      </w:pPr>
      <w:r w:rsidRPr="00B40537">
        <w:rPr>
          <w:rFonts w:asciiTheme="majorHAnsi" w:hAnsiTheme="majorHAnsi" w:cstheme="majorHAnsi"/>
          <w:b/>
        </w:rPr>
        <w:t>Integrated teamwork</w:t>
      </w:r>
      <w:r w:rsidRPr="00B40537">
        <w:rPr>
          <w:rFonts w:asciiTheme="majorHAnsi" w:hAnsiTheme="majorHAnsi" w:cstheme="majorHAnsi"/>
        </w:rPr>
        <w:t>: Multi-disciplinary approaches have resulted in seamless transitions between hospice services and external partners (e.g. district nurses, GPs)</w:t>
      </w:r>
    </w:p>
    <w:p w14:paraId="7CB3BF90" w14:textId="77777777" w:rsidR="00E87D50" w:rsidRPr="00B40537" w:rsidRDefault="00B603D6" w:rsidP="00AD747A">
      <w:pPr>
        <w:pStyle w:val="NormalWeb"/>
        <w:numPr>
          <w:ilvl w:val="0"/>
          <w:numId w:val="20"/>
        </w:numPr>
        <w:spacing w:before="280" w:after="280"/>
        <w:jc w:val="both"/>
        <w:rPr>
          <w:rFonts w:asciiTheme="majorHAnsi" w:hAnsiTheme="majorHAnsi" w:cstheme="majorHAnsi"/>
        </w:rPr>
      </w:pPr>
      <w:r w:rsidRPr="00B40537">
        <w:rPr>
          <w:rFonts w:asciiTheme="majorHAnsi" w:hAnsiTheme="majorHAnsi" w:cstheme="majorHAnsi"/>
          <w:b/>
        </w:rPr>
        <w:t>Challenges noted</w:t>
      </w:r>
      <w:r w:rsidRPr="00B40537">
        <w:rPr>
          <w:rFonts w:asciiTheme="majorHAnsi" w:hAnsiTheme="majorHAnsi" w:cstheme="majorHAnsi"/>
        </w:rPr>
        <w:t>: Some delays in community night-time symptom control were reported. In response, the Hospice Liaison Nurse has worked with community partners to enhance night support and improve hospital discharge handovers.</w:t>
      </w:r>
    </w:p>
    <w:p w14:paraId="6D2E1D2A" w14:textId="7B7E9D60" w:rsidR="00B40537" w:rsidRPr="00B40537" w:rsidRDefault="00B603D6" w:rsidP="00B40537">
      <w:pPr>
        <w:pStyle w:val="Level1"/>
        <w:spacing w:line="240" w:lineRule="auto"/>
        <w:outlineLvl w:val="1"/>
      </w:pPr>
      <w:bookmarkStart w:id="11" w:name="_Toc216792781"/>
      <w:r w:rsidRPr="00B40537">
        <w:t>Inpatient Unit</w:t>
      </w:r>
      <w:bookmarkEnd w:id="11"/>
    </w:p>
    <w:p w14:paraId="06BB2E58" w14:textId="77777777" w:rsidR="00B40537" w:rsidRDefault="00B40537"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77696" behindDoc="0" locked="0" layoutInCell="1" allowOverlap="1" wp14:anchorId="7EB0EED6" wp14:editId="4364E51F">
            <wp:simplePos x="0" y="0"/>
            <wp:positionH relativeFrom="margin">
              <wp:align>left</wp:align>
            </wp:positionH>
            <wp:positionV relativeFrom="paragraph">
              <wp:posOffset>48364</wp:posOffset>
            </wp:positionV>
            <wp:extent cx="914400" cy="731520"/>
            <wp:effectExtent l="0" t="0" r="0" b="0"/>
            <wp:wrapSquare wrapText="bothSides"/>
            <wp:docPr id="17" name="Graphic 15" descr="B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5" descr="Bed outline"/>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914400" cy="731520"/>
                    </a:xfrm>
                    <a:prstGeom prst="rect">
                      <a:avLst/>
                    </a:prstGeom>
                  </pic:spPr>
                </pic:pic>
              </a:graphicData>
            </a:graphic>
          </wp:anchor>
        </w:drawing>
      </w:r>
    </w:p>
    <w:p w14:paraId="03C59F7B" w14:textId="4A24F441" w:rsidR="00E87D50" w:rsidRDefault="00B603D6" w:rsidP="004F03A5">
      <w:pPr>
        <w:jc w:val="both"/>
        <w:rPr>
          <w:rFonts w:asciiTheme="majorHAnsi" w:hAnsiTheme="majorHAnsi" w:cstheme="majorHAnsi"/>
          <w:sz w:val="24"/>
          <w:szCs w:val="24"/>
        </w:rPr>
      </w:pPr>
      <w:r w:rsidRPr="00B40537">
        <w:rPr>
          <w:rFonts w:asciiTheme="majorHAnsi" w:hAnsiTheme="majorHAnsi" w:cstheme="majorHAnsi"/>
          <w:sz w:val="24"/>
          <w:szCs w:val="24"/>
        </w:rPr>
        <w:t xml:space="preserve">The IPU saw </w:t>
      </w:r>
      <w:r w:rsidRPr="00B40537">
        <w:rPr>
          <w:rFonts w:asciiTheme="majorHAnsi" w:hAnsiTheme="majorHAnsi" w:cstheme="majorHAnsi"/>
          <w:b/>
          <w:bCs/>
          <w:color w:val="5F497A" w:themeColor="accent4" w:themeShade="BF"/>
          <w:sz w:val="24"/>
          <w:szCs w:val="24"/>
        </w:rPr>
        <w:t>179</w:t>
      </w:r>
      <w:r w:rsidRPr="00B40537">
        <w:rPr>
          <w:rFonts w:asciiTheme="majorHAnsi" w:hAnsiTheme="majorHAnsi" w:cstheme="majorHAnsi"/>
          <w:b/>
          <w:bCs/>
          <w:sz w:val="24"/>
          <w:szCs w:val="24"/>
        </w:rPr>
        <w:t xml:space="preserve"> </w:t>
      </w:r>
      <w:r w:rsidRPr="00B40537">
        <w:rPr>
          <w:rFonts w:asciiTheme="majorHAnsi" w:hAnsiTheme="majorHAnsi" w:cstheme="majorHAnsi"/>
          <w:sz w:val="24"/>
          <w:szCs w:val="24"/>
        </w:rPr>
        <w:t xml:space="preserve">admissions in 2024/25, a </w:t>
      </w:r>
      <w:r w:rsidRPr="00B40537">
        <w:rPr>
          <w:rFonts w:asciiTheme="majorHAnsi" w:hAnsiTheme="majorHAnsi" w:cstheme="majorHAnsi"/>
          <w:b/>
          <w:bCs/>
          <w:color w:val="5F497A" w:themeColor="accent4" w:themeShade="BF"/>
          <w:sz w:val="24"/>
          <w:szCs w:val="24"/>
        </w:rPr>
        <w:t>15% rise</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 xml:space="preserve">from last year. </w:t>
      </w:r>
    </w:p>
    <w:p w14:paraId="6B74AB81" w14:textId="029CA2DC" w:rsidR="00B40537" w:rsidRPr="00B40537" w:rsidRDefault="00B40537"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0" distR="0" simplePos="0" relativeHeight="32" behindDoc="0" locked="0" layoutInCell="0" allowOverlap="1" wp14:anchorId="52263489" wp14:editId="58483DD9">
            <wp:simplePos x="0" y="0"/>
            <wp:positionH relativeFrom="margin">
              <wp:align>left</wp:align>
            </wp:positionH>
            <wp:positionV relativeFrom="paragraph">
              <wp:posOffset>304062</wp:posOffset>
            </wp:positionV>
            <wp:extent cx="800100" cy="666115"/>
            <wp:effectExtent l="0" t="0" r="0" b="635"/>
            <wp:wrapSquare wrapText="bothSides"/>
            <wp:docPr id="16" name="Image4" descr="Close-up of a calendar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 descr="Close-up of a calendar page&#10;&#10;AI-generated content may be incorrect."/>
                    <pic:cNvPicPr>
                      <a:picLocks noChangeAspect="1" noChangeArrowheads="1"/>
                    </pic:cNvPicPr>
                  </pic:nvPicPr>
                  <pic:blipFill>
                    <a:blip r:embed="rId25"/>
                    <a:stretch>
                      <a:fillRect/>
                    </a:stretch>
                  </pic:blipFill>
                  <pic:spPr bwMode="auto">
                    <a:xfrm>
                      <a:off x="0" y="0"/>
                      <a:ext cx="800100" cy="666115"/>
                    </a:xfrm>
                    <a:prstGeom prst="rect">
                      <a:avLst/>
                    </a:prstGeom>
                  </pic:spPr>
                </pic:pic>
              </a:graphicData>
            </a:graphic>
          </wp:anchor>
        </w:drawing>
      </w:r>
    </w:p>
    <w:p w14:paraId="146DCB60" w14:textId="6A95B510" w:rsidR="00E87D50" w:rsidRPr="00B40537" w:rsidRDefault="00B603D6" w:rsidP="00B40537">
      <w:pPr>
        <w:spacing w:after="0" w:line="240" w:lineRule="auto"/>
        <w:ind w:left="1440"/>
        <w:jc w:val="both"/>
        <w:rPr>
          <w:rFonts w:asciiTheme="majorHAnsi" w:hAnsiTheme="majorHAnsi" w:cstheme="majorHAnsi"/>
          <w:sz w:val="24"/>
          <w:szCs w:val="24"/>
        </w:rPr>
        <w:sectPr w:rsidR="00E87D50" w:rsidRPr="00B40537" w:rsidSect="00B40537">
          <w:type w:val="continuous"/>
          <w:pgSz w:w="12240" w:h="15840"/>
          <w:pgMar w:top="1440" w:right="1080" w:bottom="1440" w:left="1080" w:header="0" w:footer="0" w:gutter="0"/>
          <w:cols w:space="720"/>
          <w:formProt w:val="0"/>
          <w:docGrid w:linePitch="360" w:charSpace="4096"/>
        </w:sectPr>
      </w:pPr>
      <w:r w:rsidRPr="00B40537">
        <w:rPr>
          <w:rFonts w:asciiTheme="majorHAnsi" w:hAnsiTheme="majorHAnsi" w:cstheme="majorHAnsi"/>
          <w:sz w:val="24"/>
          <w:szCs w:val="24"/>
        </w:rPr>
        <w:t xml:space="preserve">Average stay fell from </w:t>
      </w:r>
      <w:r w:rsidRPr="00B40537">
        <w:rPr>
          <w:rFonts w:asciiTheme="majorHAnsi" w:hAnsiTheme="majorHAnsi" w:cstheme="majorHAnsi"/>
          <w:b/>
          <w:color w:val="5F497A" w:themeColor="accent4" w:themeShade="BF"/>
          <w:sz w:val="24"/>
          <w:szCs w:val="24"/>
        </w:rPr>
        <w:t>14.4 to 13.3 days</w:t>
      </w:r>
      <w:r w:rsidRPr="00B40537">
        <w:rPr>
          <w:rFonts w:asciiTheme="majorHAnsi" w:hAnsiTheme="majorHAnsi" w:cstheme="majorHAnsi"/>
          <w:sz w:val="24"/>
          <w:szCs w:val="24"/>
        </w:rPr>
        <w:t>, while referral-to-admission time rose slightly (1.0 to 1.8 days), reflecting wider system pressures and growing community demand—supporting our case to open four additional beds. Families continue to receive keepsakes, hand castings, and cuddle tops, offering comfort and early bereavement support.</w:t>
      </w:r>
    </w:p>
    <w:p w14:paraId="0A90099C" w14:textId="4819C37D" w:rsidR="002D5A1F" w:rsidRPr="00B40537" w:rsidRDefault="002D5A1F" w:rsidP="00AD747A">
      <w:pPr>
        <w:jc w:val="both"/>
        <w:rPr>
          <w:rFonts w:asciiTheme="majorHAnsi" w:hAnsiTheme="majorHAnsi" w:cstheme="majorHAnsi"/>
        </w:rPr>
        <w:sectPr w:rsidR="002D5A1F" w:rsidRPr="00B40537" w:rsidSect="00B40537">
          <w:type w:val="continuous"/>
          <w:pgSz w:w="12240" w:h="15840"/>
          <w:pgMar w:top="1440" w:right="1080" w:bottom="1440" w:left="1080" w:header="0" w:footer="0" w:gutter="0"/>
          <w:cols w:space="720"/>
          <w:formProt w:val="0"/>
          <w:docGrid w:linePitch="360" w:charSpace="4096"/>
        </w:sectPr>
      </w:pPr>
    </w:p>
    <w:p w14:paraId="52CD4A9C" w14:textId="77777777" w:rsidR="00E87D50" w:rsidRPr="00B40537" w:rsidRDefault="00B603D6" w:rsidP="00B40537">
      <w:pPr>
        <w:pStyle w:val="Level1"/>
        <w:outlineLvl w:val="1"/>
      </w:pPr>
      <w:bookmarkStart w:id="12" w:name="_Toc216792782"/>
      <w:r w:rsidRPr="00B40537">
        <w:t>Hospice Liaison Nurse &amp; Outreach</w:t>
      </w:r>
      <w:bookmarkEnd w:id="12"/>
    </w:p>
    <w:p w14:paraId="28B43191" w14:textId="77777777" w:rsidR="00E87D50" w:rsidRPr="00B40537" w:rsidRDefault="00B603D6" w:rsidP="004F03A5">
      <w:pPr>
        <w:pStyle w:val="NormalWeb"/>
        <w:spacing w:before="280" w:after="280"/>
        <w:ind w:left="720"/>
        <w:jc w:val="both"/>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678720" behindDoc="0" locked="0" layoutInCell="1" allowOverlap="1" wp14:anchorId="33193C0A" wp14:editId="2422F39C">
            <wp:simplePos x="0" y="0"/>
            <wp:positionH relativeFrom="column">
              <wp:posOffset>5316</wp:posOffset>
            </wp:positionH>
            <wp:positionV relativeFrom="paragraph">
              <wp:posOffset>98824</wp:posOffset>
            </wp:positionV>
            <wp:extent cx="580390" cy="580390"/>
            <wp:effectExtent l="0" t="0" r="0" b="0"/>
            <wp:wrapSquare wrapText="bothSides"/>
            <wp:docPr id="18" name="Image5"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 descr="A blue and white logo&#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flipH="1">
                      <a:off x="0" y="0"/>
                      <a:ext cx="580390" cy="580390"/>
                    </a:xfrm>
                    <a:prstGeom prst="rect">
                      <a:avLst/>
                    </a:prstGeom>
                  </pic:spPr>
                </pic:pic>
              </a:graphicData>
            </a:graphic>
          </wp:anchor>
        </w:drawing>
      </w:r>
      <w:r w:rsidRPr="00B40537">
        <w:rPr>
          <w:rFonts w:asciiTheme="majorHAnsi" w:hAnsiTheme="majorHAnsi" w:cstheme="majorHAnsi"/>
        </w:rPr>
        <w:t xml:space="preserve">The HLN strengthened links between hospice, hospital, and community services, handling </w:t>
      </w:r>
      <w:r w:rsidRPr="00B40537">
        <w:rPr>
          <w:rFonts w:asciiTheme="majorHAnsi" w:hAnsiTheme="majorHAnsi" w:cstheme="majorHAnsi"/>
          <w:b/>
          <w:bCs/>
          <w:color w:val="5F497A" w:themeColor="accent4" w:themeShade="BF"/>
        </w:rPr>
        <w:t>1,147</w:t>
      </w:r>
      <w:r w:rsidRPr="00B40537">
        <w:rPr>
          <w:rFonts w:asciiTheme="majorHAnsi" w:hAnsiTheme="majorHAnsi" w:cstheme="majorHAnsi"/>
          <w:color w:val="5F497A" w:themeColor="accent4" w:themeShade="BF"/>
        </w:rPr>
        <w:t xml:space="preserve"> </w:t>
      </w:r>
      <w:r w:rsidRPr="00B40537">
        <w:rPr>
          <w:rFonts w:asciiTheme="majorHAnsi" w:hAnsiTheme="majorHAnsi" w:cstheme="majorHAnsi"/>
        </w:rPr>
        <w:t>contacts (</w:t>
      </w:r>
      <w:r w:rsidRPr="00B40537">
        <w:rPr>
          <w:rFonts w:asciiTheme="majorHAnsi" w:hAnsiTheme="majorHAnsi" w:cstheme="majorHAnsi"/>
          <w:b/>
          <w:bCs/>
          <w:color w:val="5F497A" w:themeColor="accent4" w:themeShade="BF"/>
        </w:rPr>
        <w:t>up from 552</w:t>
      </w:r>
      <w:r w:rsidRPr="00B40537">
        <w:rPr>
          <w:rFonts w:asciiTheme="majorHAnsi" w:hAnsiTheme="majorHAnsi" w:cstheme="majorHAnsi"/>
        </w:rPr>
        <w:t>) while onward referrals decreased, demonstrating greater support for patients to remain in their preferred place of care.</w:t>
      </w:r>
    </w:p>
    <w:p w14:paraId="23DE5AEC"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The Outreach Service supports adults with life-limiting conditions to stay at home, providing early intervention, symptom management, advance care planning, and respite for caregivers.</w:t>
      </w:r>
    </w:p>
    <w:p w14:paraId="2452E202"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1AB52B24" w14:textId="02759877" w:rsidR="00E87D50" w:rsidRPr="00B40537" w:rsidRDefault="00B603D6" w:rsidP="004F03A5">
      <w:pPr>
        <w:pStyle w:val="NormalWeb"/>
        <w:spacing w:before="280" w:after="280"/>
        <w:ind w:left="993"/>
        <w:jc w:val="both"/>
        <w:rPr>
          <w:rFonts w:asciiTheme="majorHAnsi" w:hAnsiTheme="majorHAnsi" w:cstheme="majorHAnsi"/>
        </w:rPr>
      </w:pPr>
      <w:r w:rsidRPr="00B40537">
        <w:rPr>
          <w:rFonts w:asciiTheme="majorHAnsi" w:hAnsiTheme="majorHAnsi" w:cstheme="majorHAnsi"/>
          <w:noProof/>
        </w:rPr>
        <w:lastRenderedPageBreak/>
        <w:drawing>
          <wp:anchor distT="0" distB="0" distL="114300" distR="114300" simplePos="0" relativeHeight="251676672" behindDoc="1" locked="0" layoutInCell="1" allowOverlap="1" wp14:anchorId="37E059C5" wp14:editId="4BC0C540">
            <wp:simplePos x="0" y="0"/>
            <wp:positionH relativeFrom="column">
              <wp:posOffset>5316</wp:posOffset>
            </wp:positionH>
            <wp:positionV relativeFrom="paragraph">
              <wp:posOffset>51066</wp:posOffset>
            </wp:positionV>
            <wp:extent cx="493395" cy="493395"/>
            <wp:effectExtent l="0" t="0" r="1905" b="1905"/>
            <wp:wrapTight wrapText="bothSides">
              <wp:wrapPolygon edited="0">
                <wp:start x="7506" y="0"/>
                <wp:lineTo x="0" y="6672"/>
                <wp:lineTo x="0" y="14178"/>
                <wp:lineTo x="1668" y="20849"/>
                <wp:lineTo x="19181" y="20849"/>
                <wp:lineTo x="20849" y="14178"/>
                <wp:lineTo x="20849" y="7506"/>
                <wp:lineTo x="19181" y="0"/>
                <wp:lineTo x="7506" y="0"/>
              </wp:wrapPolygon>
            </wp:wrapTight>
            <wp:docPr id="19" name="Image6" descr="A blue and white house with a hear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6" descr="A blue and white house with a heart on i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93395" cy="493395"/>
                    </a:xfrm>
                    <a:prstGeom prst="rect">
                      <a:avLst/>
                    </a:prstGeom>
                  </pic:spPr>
                </pic:pic>
              </a:graphicData>
            </a:graphic>
          </wp:anchor>
        </w:drawing>
      </w:r>
      <w:r w:rsidRPr="00B40537">
        <w:rPr>
          <w:rFonts w:asciiTheme="majorHAnsi" w:hAnsiTheme="majorHAnsi" w:cstheme="majorHAnsi"/>
        </w:rPr>
        <w:t xml:space="preserve">In 2024/25, the team completed </w:t>
      </w:r>
      <w:r w:rsidRPr="00B40537">
        <w:rPr>
          <w:rFonts w:asciiTheme="majorHAnsi" w:hAnsiTheme="majorHAnsi" w:cstheme="majorHAnsi"/>
          <w:b/>
          <w:bCs/>
          <w:color w:val="5F497A" w:themeColor="accent4" w:themeShade="BF"/>
        </w:rPr>
        <w:t>1,640</w:t>
      </w:r>
      <w:r w:rsidRPr="00B40537">
        <w:rPr>
          <w:rFonts w:asciiTheme="majorHAnsi" w:hAnsiTheme="majorHAnsi" w:cstheme="majorHAnsi"/>
          <w:color w:val="5F497A" w:themeColor="accent4" w:themeShade="BF"/>
        </w:rPr>
        <w:t xml:space="preserve"> </w:t>
      </w:r>
      <w:r w:rsidRPr="00B40537">
        <w:rPr>
          <w:rFonts w:asciiTheme="majorHAnsi" w:hAnsiTheme="majorHAnsi" w:cstheme="majorHAnsi"/>
        </w:rPr>
        <w:t>face-to-face visits (</w:t>
      </w:r>
      <w:r w:rsidRPr="00B40537">
        <w:rPr>
          <w:rFonts w:asciiTheme="majorHAnsi" w:hAnsiTheme="majorHAnsi" w:cstheme="majorHAnsi"/>
          <w:b/>
          <w:bCs/>
          <w:color w:val="5F497A" w:themeColor="accent4" w:themeShade="BF"/>
        </w:rPr>
        <w:t>down 11%</w:t>
      </w:r>
      <w:r w:rsidRPr="00B40537">
        <w:rPr>
          <w:rFonts w:asciiTheme="majorHAnsi" w:hAnsiTheme="majorHAnsi" w:cstheme="majorHAnsi"/>
        </w:rPr>
        <w:t xml:space="preserve">) and </w:t>
      </w:r>
      <w:r w:rsidRPr="00B40537">
        <w:rPr>
          <w:rFonts w:asciiTheme="majorHAnsi" w:hAnsiTheme="majorHAnsi" w:cstheme="majorHAnsi"/>
          <w:b/>
          <w:bCs/>
          <w:color w:val="5F497A" w:themeColor="accent4" w:themeShade="BF"/>
        </w:rPr>
        <w:t>1,173</w:t>
      </w:r>
      <w:r w:rsidRPr="00B40537">
        <w:rPr>
          <w:rFonts w:asciiTheme="majorHAnsi" w:hAnsiTheme="majorHAnsi" w:cstheme="majorHAnsi"/>
          <w:color w:val="5F497A" w:themeColor="accent4" w:themeShade="BF"/>
        </w:rPr>
        <w:t xml:space="preserve"> </w:t>
      </w:r>
      <w:r w:rsidRPr="00B40537">
        <w:rPr>
          <w:rFonts w:asciiTheme="majorHAnsi" w:hAnsiTheme="majorHAnsi" w:cstheme="majorHAnsi"/>
        </w:rPr>
        <w:t>phone contacts (</w:t>
      </w:r>
      <w:r w:rsidRPr="00B40537">
        <w:rPr>
          <w:rFonts w:asciiTheme="majorHAnsi" w:hAnsiTheme="majorHAnsi" w:cstheme="majorHAnsi"/>
          <w:b/>
          <w:bCs/>
          <w:color w:val="5F497A" w:themeColor="accent4" w:themeShade="BF"/>
        </w:rPr>
        <w:t>up 10%</w:t>
      </w:r>
      <w:r w:rsidRPr="00B40537">
        <w:rPr>
          <w:rFonts w:asciiTheme="majorHAnsi" w:hAnsiTheme="majorHAnsi" w:cstheme="majorHAnsi"/>
        </w:rPr>
        <w:t>), reflecting proactive caseload reviews and effective integration with GPs, hospitals, and community services.</w:t>
      </w:r>
    </w:p>
    <w:p w14:paraId="3344B156"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6D53FEFD" w14:textId="77777777" w:rsidR="00E87D50" w:rsidRPr="00B40537" w:rsidRDefault="00B603D6" w:rsidP="004F03A5">
      <w:pPr>
        <w:pStyle w:val="Level1"/>
      </w:pPr>
      <w:bookmarkStart w:id="13" w:name="_Toc216792783"/>
      <w:r w:rsidRPr="00B40537">
        <w:t>Education</w:t>
      </w:r>
      <w:bookmarkEnd w:id="13"/>
    </w:p>
    <w:p w14:paraId="4A6A2C71" w14:textId="317F765B" w:rsidR="00E87D50" w:rsidRPr="00B40537" w:rsidRDefault="00B603D6" w:rsidP="004F03A5">
      <w:pPr>
        <w:pStyle w:val="NormalWeb"/>
        <w:spacing w:before="280" w:after="280"/>
        <w:ind w:left="720"/>
        <w:jc w:val="both"/>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679744" behindDoc="0" locked="0" layoutInCell="1" allowOverlap="1" wp14:anchorId="643A320A" wp14:editId="7106F3C8">
            <wp:simplePos x="0" y="0"/>
            <wp:positionH relativeFrom="column">
              <wp:posOffset>5316</wp:posOffset>
            </wp:positionH>
            <wp:positionV relativeFrom="paragraph">
              <wp:posOffset>99592</wp:posOffset>
            </wp:positionV>
            <wp:extent cx="590550" cy="590550"/>
            <wp:effectExtent l="0" t="0" r="0" b="0"/>
            <wp:wrapSquare wrapText="bothSides"/>
            <wp:docPr id="20" name="Image7" descr="A white icon of a book and a certific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7" descr="A white icon of a book and a certificate&#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flipH="1">
                      <a:off x="0" y="0"/>
                      <a:ext cx="590550" cy="590550"/>
                    </a:xfrm>
                    <a:prstGeom prst="rect">
                      <a:avLst/>
                    </a:prstGeom>
                  </pic:spPr>
                </pic:pic>
              </a:graphicData>
            </a:graphic>
          </wp:anchor>
        </w:drawing>
      </w:r>
      <w:r w:rsidRPr="00B40537">
        <w:rPr>
          <w:rFonts w:asciiTheme="majorHAnsi" w:hAnsiTheme="majorHAnsi" w:cstheme="majorHAnsi"/>
        </w:rPr>
        <w:t>Bury Hospice expanded its education programme, offering on-site training for both hospice and external staff. Specialist sessions covered Advance Care Planning and clinical care as part of the Palliative Care Passport.</w:t>
      </w:r>
    </w:p>
    <w:p w14:paraId="6637C0B1"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In 2024/25, the Lead Educator trained </w:t>
      </w:r>
      <w:r w:rsidRPr="00B40537">
        <w:rPr>
          <w:rFonts w:asciiTheme="majorHAnsi" w:hAnsiTheme="majorHAnsi" w:cstheme="majorHAnsi"/>
          <w:b/>
          <w:bCs/>
          <w:color w:val="5F497A" w:themeColor="accent4" w:themeShade="BF"/>
          <w:sz w:val="24"/>
          <w:szCs w:val="24"/>
        </w:rPr>
        <w:t>127</w:t>
      </w:r>
      <w:r w:rsidRPr="00B40537">
        <w:rPr>
          <w:rFonts w:asciiTheme="majorHAnsi" w:hAnsiTheme="majorHAnsi" w:cstheme="majorHAnsi"/>
          <w:sz w:val="24"/>
          <w:szCs w:val="24"/>
        </w:rPr>
        <w:t xml:space="preserve"> internal staff (including four completing the education passport) and </w:t>
      </w:r>
      <w:r w:rsidRPr="00B40537">
        <w:rPr>
          <w:rFonts w:asciiTheme="majorHAnsi" w:hAnsiTheme="majorHAnsi" w:cstheme="majorHAnsi"/>
          <w:b/>
          <w:bCs/>
          <w:color w:val="5F497A" w:themeColor="accent4" w:themeShade="BF"/>
          <w:sz w:val="24"/>
          <w:szCs w:val="24"/>
        </w:rPr>
        <w:t>130</w:t>
      </w:r>
      <w:r w:rsidRPr="00B40537">
        <w:rPr>
          <w:rFonts w:asciiTheme="majorHAnsi" w:hAnsiTheme="majorHAnsi" w:cstheme="majorHAnsi"/>
          <w:sz w:val="24"/>
          <w:szCs w:val="24"/>
        </w:rPr>
        <w:t xml:space="preserve"> external staff (including two completing the education passport). The hospice also hosted placements for medical, nursing, paramedic, cadet, and allied health students.</w:t>
      </w:r>
    </w:p>
    <w:p w14:paraId="03E837BF"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Together with the Patient Liaison Nurse, the Lead Educator delivered six hospice awareness sessions to health, social care teams, and the community, broadening understanding of hospice care and support.</w:t>
      </w:r>
    </w:p>
    <w:p w14:paraId="7EAF4E02"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 xml:space="preserve">Bury Hospice has continued to develop its education offer through the provision of on-site training that can be accessed by hospice and external staff. </w:t>
      </w:r>
    </w:p>
    <w:p w14:paraId="2650A8B3"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The hospice is providing specialist training to the system on Advance Care Planning and specific aspects of clinical care as part of the Palliative Care Passport.</w:t>
      </w:r>
    </w:p>
    <w:p w14:paraId="7F64AC2C"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 xml:space="preserve">The Lead Educator delivered training for </w:t>
      </w:r>
      <w:r w:rsidRPr="00B40537">
        <w:rPr>
          <w:rFonts w:asciiTheme="majorHAnsi" w:hAnsiTheme="majorHAnsi" w:cstheme="majorHAnsi"/>
          <w:b/>
          <w:bCs/>
          <w:color w:val="5F497A" w:themeColor="accent4" w:themeShade="BF"/>
          <w:sz w:val="24"/>
          <w:szCs w:val="24"/>
        </w:rPr>
        <w:t>127</w:t>
      </w:r>
      <w:r w:rsidRPr="00B40537">
        <w:rPr>
          <w:rFonts w:asciiTheme="majorHAnsi" w:hAnsiTheme="majorHAnsi" w:cstheme="majorHAnsi"/>
          <w:sz w:val="24"/>
          <w:szCs w:val="24"/>
        </w:rPr>
        <w:t xml:space="preserve"> internal staff, including </w:t>
      </w:r>
      <w:r w:rsidRPr="00B40537">
        <w:rPr>
          <w:rFonts w:asciiTheme="majorHAnsi" w:hAnsiTheme="majorHAnsi" w:cstheme="majorHAnsi"/>
          <w:b/>
          <w:bCs/>
          <w:color w:val="5F497A" w:themeColor="accent4" w:themeShade="BF"/>
          <w:sz w:val="24"/>
          <w:szCs w:val="24"/>
        </w:rPr>
        <w:t>four</w:t>
      </w:r>
      <w:r w:rsidRPr="00B40537">
        <w:rPr>
          <w:rFonts w:asciiTheme="majorHAnsi" w:hAnsiTheme="majorHAnsi" w:cstheme="majorHAnsi"/>
          <w:sz w:val="24"/>
          <w:szCs w:val="24"/>
        </w:rPr>
        <w:t xml:space="preserve"> members of staff who completed six sessions for the education passport. </w:t>
      </w:r>
    </w:p>
    <w:p w14:paraId="542E0952"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 xml:space="preserve">Training was also delivered to </w:t>
      </w:r>
      <w:r w:rsidRPr="00B40537">
        <w:rPr>
          <w:rFonts w:asciiTheme="majorHAnsi" w:hAnsiTheme="majorHAnsi" w:cstheme="majorHAnsi"/>
          <w:b/>
          <w:bCs/>
          <w:color w:val="5F497A" w:themeColor="accent4" w:themeShade="BF"/>
          <w:sz w:val="24"/>
          <w:szCs w:val="24"/>
        </w:rPr>
        <w:t>130</w:t>
      </w:r>
      <w:r w:rsidRPr="00B40537">
        <w:rPr>
          <w:rFonts w:asciiTheme="majorHAnsi" w:hAnsiTheme="majorHAnsi" w:cstheme="majorHAnsi"/>
          <w:sz w:val="24"/>
          <w:szCs w:val="24"/>
        </w:rPr>
        <w:t xml:space="preserve"> external staff members, including </w:t>
      </w:r>
      <w:r w:rsidRPr="00B40537">
        <w:rPr>
          <w:rFonts w:asciiTheme="majorHAnsi" w:hAnsiTheme="majorHAnsi" w:cstheme="majorHAnsi"/>
          <w:b/>
          <w:bCs/>
          <w:color w:val="5F497A" w:themeColor="accent4" w:themeShade="BF"/>
          <w:sz w:val="24"/>
          <w:szCs w:val="24"/>
        </w:rPr>
        <w:t>two</w:t>
      </w:r>
      <w:r w:rsidRPr="00B40537">
        <w:rPr>
          <w:rFonts w:asciiTheme="majorHAnsi" w:hAnsiTheme="majorHAnsi" w:cstheme="majorHAnsi"/>
          <w:sz w:val="24"/>
          <w:szCs w:val="24"/>
        </w:rPr>
        <w:t xml:space="preserve"> individuals who completed six sessions of the education passport. </w:t>
      </w:r>
    </w:p>
    <w:p w14:paraId="05287A04"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Bury Hospice continues to be proactive in supporting education of our health and social care partners through the provision of placements for trainees, from medical, nursing, cadets, paramedics, and other student Allied Health Professionals.</w:t>
      </w:r>
    </w:p>
    <w:p w14:paraId="7CDD9C27" w14:textId="77777777" w:rsidR="00E87D50" w:rsidRPr="00B40537" w:rsidRDefault="00B603D6" w:rsidP="00AD747A">
      <w:pPr>
        <w:pStyle w:val="ListBullet"/>
        <w:jc w:val="both"/>
        <w:rPr>
          <w:rFonts w:asciiTheme="majorHAnsi" w:hAnsiTheme="majorHAnsi" w:cstheme="majorHAnsi"/>
          <w:sz w:val="24"/>
          <w:szCs w:val="24"/>
        </w:rPr>
      </w:pPr>
      <w:r w:rsidRPr="00B40537">
        <w:rPr>
          <w:rFonts w:asciiTheme="majorHAnsi" w:hAnsiTheme="majorHAnsi" w:cstheme="majorHAnsi"/>
          <w:sz w:val="24"/>
          <w:szCs w:val="24"/>
        </w:rPr>
        <w:t>The Lead Educator and the Patient Liaison Nurse have delivered six hospice awareness sessions within the wider health and social care team, as well as the local community, making them knowledgeable about all aspects of the hospice and what care and support it offers.</w:t>
      </w:r>
    </w:p>
    <w:p w14:paraId="5CBC86EB" w14:textId="77777777" w:rsidR="00E87D50" w:rsidRPr="00B40537" w:rsidRDefault="00B603D6" w:rsidP="004F03A5">
      <w:pPr>
        <w:pStyle w:val="Level1"/>
      </w:pPr>
      <w:bookmarkStart w:id="14" w:name="_Toc216792784"/>
      <w:r w:rsidRPr="00B40537">
        <w:t>Complementary Therapy</w:t>
      </w:r>
      <w:bookmarkEnd w:id="14"/>
    </w:p>
    <w:p w14:paraId="4790BDDC" w14:textId="75C510C6" w:rsidR="00E87D50" w:rsidRPr="004F03A5" w:rsidRDefault="00B603D6" w:rsidP="004F03A5">
      <w:pPr>
        <w:pStyle w:val="NormalWeb"/>
        <w:spacing w:before="280" w:after="280"/>
        <w:ind w:left="720"/>
        <w:jc w:val="both"/>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680768" behindDoc="0" locked="0" layoutInCell="1" allowOverlap="1" wp14:anchorId="2D00503F" wp14:editId="25884030">
            <wp:simplePos x="0" y="0"/>
            <wp:positionH relativeFrom="margin">
              <wp:align>left</wp:align>
            </wp:positionH>
            <wp:positionV relativeFrom="paragraph">
              <wp:posOffset>98263</wp:posOffset>
            </wp:positionV>
            <wp:extent cx="457200" cy="457200"/>
            <wp:effectExtent l="0" t="0" r="0" b="0"/>
            <wp:wrapSquare wrapText="bothSides"/>
            <wp:docPr id="21" name="Image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 descr="A black background with a black square&#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57200" cy="457200"/>
                    </a:xfrm>
                    <a:prstGeom prst="rect">
                      <a:avLst/>
                    </a:prstGeom>
                  </pic:spPr>
                </pic:pic>
              </a:graphicData>
            </a:graphic>
          </wp:anchor>
        </w:drawing>
      </w:r>
      <w:r w:rsidRPr="00B40537">
        <w:rPr>
          <w:rFonts w:asciiTheme="majorHAnsi" w:hAnsiTheme="majorHAnsi" w:cstheme="majorHAnsi"/>
        </w:rPr>
        <w:t xml:space="preserve">The Complementary Therapy team has provided </w:t>
      </w:r>
      <w:r w:rsidRPr="00B40537">
        <w:rPr>
          <w:rFonts w:asciiTheme="majorHAnsi" w:hAnsiTheme="majorHAnsi" w:cstheme="majorHAnsi"/>
          <w:b/>
          <w:bCs/>
          <w:color w:val="5F497A" w:themeColor="accent4" w:themeShade="BF"/>
        </w:rPr>
        <w:t>534</w:t>
      </w:r>
      <w:r w:rsidRPr="00B40537">
        <w:rPr>
          <w:rFonts w:asciiTheme="majorHAnsi" w:hAnsiTheme="majorHAnsi" w:cstheme="majorHAnsi"/>
        </w:rPr>
        <w:t xml:space="preserve"> (</w:t>
      </w:r>
      <w:r w:rsidRPr="00B40537">
        <w:rPr>
          <w:rFonts w:asciiTheme="majorHAnsi" w:hAnsiTheme="majorHAnsi" w:cstheme="majorHAnsi"/>
          <w:b/>
          <w:bCs/>
          <w:color w:val="5F497A" w:themeColor="accent4" w:themeShade="BF"/>
        </w:rPr>
        <w:t>3% increase</w:t>
      </w:r>
      <w:r w:rsidRPr="00B40537">
        <w:rPr>
          <w:rFonts w:asciiTheme="majorHAnsi" w:hAnsiTheme="majorHAnsi" w:cstheme="majorHAnsi"/>
        </w:rPr>
        <w:t xml:space="preserve">) individual sessions to both patients and carers, which supports spiritual and psychological wellbeing, by encouraging mindfulness, reflection, and inner peace. This can help the individual to make sense of their experience, promoting meaning, acceptance, and dignity. Some therapies (e.g., Reiki or visualization) being chosen for their alignment with personal or cultural beliefs. The Complementary Therapy team has also provided </w:t>
      </w:r>
      <w:r w:rsidRPr="00B40537">
        <w:rPr>
          <w:rFonts w:asciiTheme="majorHAnsi" w:hAnsiTheme="majorHAnsi" w:cstheme="majorHAnsi"/>
          <w:b/>
          <w:bCs/>
          <w:color w:val="5F497A" w:themeColor="accent4" w:themeShade="BF"/>
        </w:rPr>
        <w:t xml:space="preserve">61 </w:t>
      </w:r>
      <w:r w:rsidRPr="00B40537">
        <w:rPr>
          <w:rFonts w:asciiTheme="majorHAnsi" w:hAnsiTheme="majorHAnsi" w:cstheme="majorHAnsi"/>
        </w:rPr>
        <w:t xml:space="preserve">Lymphatic Drainage Massages to patients on the treatment pathways, which is a </w:t>
      </w:r>
      <w:r w:rsidRPr="00B40537">
        <w:rPr>
          <w:rFonts w:asciiTheme="majorHAnsi" w:hAnsiTheme="majorHAnsi" w:cstheme="majorHAnsi"/>
          <w:b/>
          <w:bCs/>
          <w:color w:val="5F497A" w:themeColor="accent4" w:themeShade="BF"/>
        </w:rPr>
        <w:t xml:space="preserve">7% increase. </w:t>
      </w:r>
    </w:p>
    <w:p w14:paraId="16D08E9F" w14:textId="77777777" w:rsidR="00E87D50" w:rsidRPr="00B40537" w:rsidRDefault="00B603D6" w:rsidP="004F03A5">
      <w:pPr>
        <w:pStyle w:val="Level1"/>
      </w:pPr>
      <w:bookmarkStart w:id="15" w:name="_Toc216792785"/>
      <w:r w:rsidRPr="00B40537">
        <w:lastRenderedPageBreak/>
        <w:t>Bereavement and Wellbeing Service</w:t>
      </w:r>
      <w:bookmarkEnd w:id="15"/>
    </w:p>
    <w:p w14:paraId="59FC1A3D" w14:textId="77777777" w:rsidR="00E87D50" w:rsidRPr="00B40537" w:rsidRDefault="00B603D6" w:rsidP="004F03A5">
      <w:pPr>
        <w:pStyle w:val="NormalWeb"/>
        <w:spacing w:before="280" w:after="280"/>
        <w:ind w:left="720"/>
        <w:jc w:val="both"/>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681792" behindDoc="0" locked="0" layoutInCell="1" allowOverlap="1" wp14:anchorId="46C9B21E" wp14:editId="43182C6D">
            <wp:simplePos x="0" y="0"/>
            <wp:positionH relativeFrom="margin">
              <wp:align>left</wp:align>
            </wp:positionH>
            <wp:positionV relativeFrom="paragraph">
              <wp:posOffset>99060</wp:posOffset>
            </wp:positionV>
            <wp:extent cx="463550" cy="463550"/>
            <wp:effectExtent l="0" t="0" r="0" b="0"/>
            <wp:wrapSquare wrapText="bothSides"/>
            <wp:docPr id="22" name="Image9" descr="A black and white line drawing of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 descr="A black and white line drawing of a candle&#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63550" cy="463550"/>
                    </a:xfrm>
                    <a:prstGeom prst="rect">
                      <a:avLst/>
                    </a:prstGeom>
                  </pic:spPr>
                </pic:pic>
              </a:graphicData>
            </a:graphic>
          </wp:anchor>
        </w:drawing>
      </w:r>
      <w:r w:rsidRPr="00B40537">
        <w:rPr>
          <w:rFonts w:asciiTheme="majorHAnsi" w:hAnsiTheme="majorHAnsi" w:cstheme="majorHAnsi"/>
        </w:rPr>
        <w:t xml:space="preserve">On a monthly basis, the Bereavement team facilitates two therapeutic bereavement support groups in the community, at different venues in Bury. These groups continue to be well attended, with an average of </w:t>
      </w:r>
      <w:r w:rsidRPr="00B40537">
        <w:rPr>
          <w:rFonts w:asciiTheme="majorHAnsi" w:hAnsiTheme="majorHAnsi" w:cstheme="majorHAnsi"/>
          <w:b/>
          <w:bCs/>
          <w:color w:val="5F497A" w:themeColor="accent4" w:themeShade="BF"/>
        </w:rPr>
        <w:t>eight attendees</w:t>
      </w:r>
      <w:r w:rsidRPr="00B40537">
        <w:rPr>
          <w:rFonts w:asciiTheme="majorHAnsi" w:hAnsiTheme="majorHAnsi" w:cstheme="majorHAnsi"/>
          <w:color w:val="5F497A" w:themeColor="accent4" w:themeShade="BF"/>
        </w:rPr>
        <w:t xml:space="preserve"> </w:t>
      </w:r>
      <w:r w:rsidRPr="00B40537">
        <w:rPr>
          <w:rFonts w:asciiTheme="majorHAnsi" w:hAnsiTheme="majorHAnsi" w:cstheme="majorHAnsi"/>
        </w:rPr>
        <w:t>each session.</w:t>
      </w:r>
    </w:p>
    <w:p w14:paraId="37878402"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The team also hosts a weekly Walk &amp; Talk Group, which is equally successful, with an average of ten walkers enjoying the local sights each week.</w:t>
      </w:r>
    </w:p>
    <w:p w14:paraId="64DFFF24" w14:textId="77777777" w:rsidR="00E87D50" w:rsidRPr="004F03A5" w:rsidRDefault="00B603D6" w:rsidP="00AD747A">
      <w:pPr>
        <w:jc w:val="both"/>
        <w:rPr>
          <w:rFonts w:asciiTheme="majorHAnsi" w:hAnsiTheme="majorHAnsi" w:cstheme="majorHAnsi"/>
          <w:color w:val="000000" w:themeColor="text1"/>
          <w:sz w:val="24"/>
          <w:szCs w:val="24"/>
        </w:rPr>
      </w:pPr>
      <w:r w:rsidRPr="004F03A5">
        <w:rPr>
          <w:rFonts w:asciiTheme="majorHAnsi" w:hAnsiTheme="majorHAnsi" w:cstheme="majorHAnsi"/>
          <w:color w:val="000000" w:themeColor="text1"/>
          <w:sz w:val="24"/>
          <w:szCs w:val="24"/>
        </w:rPr>
        <w:t>This peer support work compliments the 1:1 counselling and emotional support provided to children, young people, and adults within the hospice.</w:t>
      </w:r>
    </w:p>
    <w:p w14:paraId="004BEDAF" w14:textId="77777777" w:rsidR="00E87D50" w:rsidRPr="004F03A5" w:rsidRDefault="00B603D6" w:rsidP="00AD747A">
      <w:pPr>
        <w:jc w:val="both"/>
        <w:rPr>
          <w:rFonts w:asciiTheme="majorHAnsi" w:hAnsiTheme="majorHAnsi" w:cstheme="majorHAnsi"/>
          <w:color w:val="000000" w:themeColor="text1"/>
          <w:sz w:val="24"/>
          <w:szCs w:val="24"/>
        </w:rPr>
      </w:pPr>
      <w:r w:rsidRPr="004F03A5">
        <w:rPr>
          <w:rFonts w:asciiTheme="majorHAnsi" w:hAnsiTheme="majorHAnsi" w:cstheme="majorHAnsi"/>
          <w:color w:val="000000" w:themeColor="text1"/>
          <w:sz w:val="24"/>
          <w:szCs w:val="24"/>
        </w:rPr>
        <w:t xml:space="preserve">The annual ‘Time to Remember’ service ran in September 2024 and March 2025, welcoming </w:t>
      </w:r>
      <w:r w:rsidRPr="004F03A5">
        <w:rPr>
          <w:rFonts w:asciiTheme="majorHAnsi" w:hAnsiTheme="majorHAnsi" w:cstheme="majorHAnsi"/>
          <w:b/>
          <w:bCs/>
          <w:color w:val="000000" w:themeColor="text1"/>
          <w:sz w:val="24"/>
          <w:szCs w:val="24"/>
        </w:rPr>
        <w:t>two hundred</w:t>
      </w:r>
      <w:r w:rsidRPr="004F03A5">
        <w:rPr>
          <w:rFonts w:asciiTheme="majorHAnsi" w:hAnsiTheme="majorHAnsi" w:cstheme="majorHAnsi"/>
          <w:color w:val="000000" w:themeColor="text1"/>
          <w:sz w:val="24"/>
          <w:szCs w:val="24"/>
        </w:rPr>
        <w:t xml:space="preserve"> friends and family members in a safe and caring environment, allowing for reflection and support. </w:t>
      </w:r>
    </w:p>
    <w:p w14:paraId="7BEA11BC" w14:textId="77777777" w:rsidR="00E87D50" w:rsidRPr="00B40537" w:rsidRDefault="00B603D6" w:rsidP="00AD747A">
      <w:pPr>
        <w:jc w:val="both"/>
        <w:rPr>
          <w:rFonts w:asciiTheme="majorHAnsi" w:hAnsiTheme="majorHAnsi" w:cstheme="majorHAnsi"/>
          <w:sz w:val="24"/>
          <w:szCs w:val="24"/>
        </w:rPr>
      </w:pPr>
      <w:r w:rsidRPr="004F03A5">
        <w:rPr>
          <w:rFonts w:asciiTheme="majorHAnsi" w:hAnsiTheme="majorHAnsi" w:cstheme="majorHAnsi"/>
          <w:color w:val="000000" w:themeColor="text1"/>
          <w:sz w:val="24"/>
          <w:szCs w:val="24"/>
        </w:rPr>
        <w:t>The Bereavement team has continued to provide therapeutic peer support for children aged 5-11 and their families via the Sunflower Group programme</w:t>
      </w:r>
      <w:r w:rsidRPr="00B40537">
        <w:rPr>
          <w:rFonts w:asciiTheme="majorHAnsi" w:hAnsiTheme="majorHAnsi" w:cstheme="majorHAnsi"/>
          <w:sz w:val="24"/>
          <w:szCs w:val="24"/>
        </w:rPr>
        <w:t xml:space="preserve">. </w:t>
      </w:r>
    </w:p>
    <w:p w14:paraId="5DB75E38"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This group enables families to come together in their grief, share memories of their loved ones, explore feelings, and consider ways in which to promote resilience after loss. </w:t>
      </w:r>
      <w:r w:rsidRPr="00B40537">
        <w:rPr>
          <w:rFonts w:asciiTheme="majorHAnsi" w:hAnsiTheme="majorHAnsi" w:cstheme="majorHAnsi"/>
          <w:b/>
          <w:bCs/>
          <w:color w:val="5F497A" w:themeColor="accent4" w:themeShade="BF"/>
          <w:sz w:val="24"/>
          <w:szCs w:val="24"/>
        </w:rPr>
        <w:t>Two groups</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 xml:space="preserve">were supported, caring for </w:t>
      </w:r>
      <w:r w:rsidRPr="00B40537">
        <w:rPr>
          <w:rFonts w:asciiTheme="majorHAnsi" w:hAnsiTheme="majorHAnsi" w:cstheme="majorHAnsi"/>
          <w:b/>
          <w:bCs/>
          <w:color w:val="5F497A" w:themeColor="accent4" w:themeShade="BF"/>
          <w:sz w:val="24"/>
          <w:szCs w:val="24"/>
        </w:rPr>
        <w:t>nine families</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 xml:space="preserve">with a total of </w:t>
      </w:r>
      <w:r w:rsidRPr="00B40537">
        <w:rPr>
          <w:rFonts w:asciiTheme="majorHAnsi" w:hAnsiTheme="majorHAnsi" w:cstheme="majorHAnsi"/>
          <w:b/>
          <w:bCs/>
          <w:color w:val="5F497A" w:themeColor="accent4" w:themeShade="BF"/>
          <w:sz w:val="24"/>
          <w:szCs w:val="24"/>
        </w:rPr>
        <w:t>thirteen</w:t>
      </w:r>
      <w:r w:rsidRPr="00B40537">
        <w:rPr>
          <w:rFonts w:asciiTheme="majorHAnsi" w:hAnsiTheme="majorHAnsi" w:cstheme="majorHAnsi"/>
          <w:sz w:val="24"/>
          <w:szCs w:val="24"/>
        </w:rPr>
        <w:t xml:space="preserve"> children and the feedback was fantastic. Following on from these groups, the team invited attendees to a Sunflower Reunion event in December, with ten families joining and taking part in creative activities: reconnecting once again.</w:t>
      </w:r>
    </w:p>
    <w:p w14:paraId="5EA67B69"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The Bereavement team continues to link in with external bereavement services to ensure people are well supported throughout their grief journey. </w:t>
      </w:r>
    </w:p>
    <w:p w14:paraId="33D948A8" w14:textId="25230F80" w:rsidR="00E87D50" w:rsidRPr="00B40537" w:rsidRDefault="004F03A5" w:rsidP="00AD747A">
      <w:p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0" distR="0" simplePos="0" relativeHeight="47" behindDoc="0" locked="0" layoutInCell="0" allowOverlap="1" wp14:anchorId="456FAB1B" wp14:editId="669BDAF6">
            <wp:simplePos x="0" y="0"/>
            <wp:positionH relativeFrom="margin">
              <wp:posOffset>3594262</wp:posOffset>
            </wp:positionH>
            <wp:positionV relativeFrom="paragraph">
              <wp:posOffset>445770</wp:posOffset>
            </wp:positionV>
            <wp:extent cx="2744470" cy="2282190"/>
            <wp:effectExtent l="0" t="0" r="0" b="3810"/>
            <wp:wrapSquare wrapText="largest"/>
            <wp:docPr id="2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
                    <pic:cNvPicPr>
                      <a:picLocks noChangeAspect="1" noChangeArrowheads="1"/>
                    </pic:cNvPicPr>
                  </pic:nvPicPr>
                  <pic:blipFill>
                    <a:blip r:embed="rId31"/>
                    <a:stretch>
                      <a:fillRect/>
                    </a:stretch>
                  </pic:blipFill>
                  <pic:spPr bwMode="auto">
                    <a:xfrm>
                      <a:off x="0" y="0"/>
                      <a:ext cx="2744470" cy="2282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40537">
        <w:rPr>
          <w:rFonts w:asciiTheme="majorHAnsi" w:hAnsiTheme="majorHAnsi" w:cstheme="majorHAnsi"/>
          <w:noProof/>
          <w:sz w:val="24"/>
          <w:szCs w:val="24"/>
          <w:lang w:val="en-GB" w:eastAsia="en-GB"/>
        </w:rPr>
        <w:drawing>
          <wp:anchor distT="0" distB="0" distL="0" distR="0" simplePos="0" relativeHeight="25" behindDoc="0" locked="0" layoutInCell="0" allowOverlap="1" wp14:anchorId="751F9FC7" wp14:editId="4D166D7A">
            <wp:simplePos x="0" y="0"/>
            <wp:positionH relativeFrom="margin">
              <wp:posOffset>66513</wp:posOffset>
            </wp:positionH>
            <wp:positionV relativeFrom="paragraph">
              <wp:posOffset>499110</wp:posOffset>
            </wp:positionV>
            <wp:extent cx="2658110" cy="2334895"/>
            <wp:effectExtent l="0" t="0" r="8890" b="8255"/>
            <wp:wrapNone/>
            <wp:docPr id="23" name="Image10" descr="A group of women in scrubs standing on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 descr="A group of women in scrubs standing on a bridge&#10;&#10;AI-generated content may be incorrect."/>
                    <pic:cNvPicPr>
                      <a:picLocks noChangeAspect="1" noChangeArrowheads="1"/>
                    </pic:cNvPicPr>
                  </pic:nvPicPr>
                  <pic:blipFill>
                    <a:blip r:embed="rId32"/>
                    <a:stretch>
                      <a:fillRect/>
                    </a:stretch>
                  </pic:blipFill>
                  <pic:spPr bwMode="auto">
                    <a:xfrm>
                      <a:off x="0" y="0"/>
                      <a:ext cx="2658110" cy="2334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 xml:space="preserve">The team is proactive in supporting an external suicide support group, which runs at the hospice on a monthly basis, alongside attending any training and networking opportunities in this field. </w:t>
      </w:r>
    </w:p>
    <w:p w14:paraId="31C522E2" w14:textId="257F94F6" w:rsidR="00E87D50" w:rsidRPr="00B40537" w:rsidRDefault="00E87D50" w:rsidP="00AD747A">
      <w:pPr>
        <w:jc w:val="both"/>
        <w:rPr>
          <w:rFonts w:asciiTheme="majorHAnsi" w:hAnsiTheme="majorHAnsi" w:cstheme="majorHAnsi"/>
          <w:sz w:val="24"/>
          <w:szCs w:val="24"/>
        </w:rPr>
      </w:pPr>
    </w:p>
    <w:p w14:paraId="72D8075F" w14:textId="1293CD8E" w:rsidR="00E87D50" w:rsidRPr="00B40537" w:rsidRDefault="00E87D50" w:rsidP="00AD747A">
      <w:pPr>
        <w:jc w:val="both"/>
        <w:rPr>
          <w:rFonts w:asciiTheme="majorHAnsi" w:hAnsiTheme="majorHAnsi" w:cstheme="majorHAnsi"/>
        </w:rPr>
      </w:pPr>
    </w:p>
    <w:p w14:paraId="649FCE75" w14:textId="77777777" w:rsidR="00E87D50" w:rsidRPr="00B40537" w:rsidRDefault="00E87D50" w:rsidP="00AD747A">
      <w:pPr>
        <w:jc w:val="both"/>
        <w:rPr>
          <w:rFonts w:asciiTheme="majorHAnsi" w:hAnsiTheme="majorHAnsi" w:cstheme="majorHAnsi"/>
        </w:rPr>
      </w:pPr>
    </w:p>
    <w:p w14:paraId="61C03D96" w14:textId="77777777" w:rsidR="00E87D50" w:rsidRPr="00B40537" w:rsidRDefault="00E87D50" w:rsidP="00AD747A">
      <w:pPr>
        <w:jc w:val="both"/>
        <w:rPr>
          <w:rFonts w:asciiTheme="majorHAnsi" w:hAnsiTheme="majorHAnsi" w:cstheme="majorHAnsi"/>
        </w:rPr>
      </w:pPr>
    </w:p>
    <w:p w14:paraId="27079097" w14:textId="77777777" w:rsidR="00E87D50" w:rsidRPr="00B40537" w:rsidRDefault="00E87D50" w:rsidP="00AD747A">
      <w:pPr>
        <w:jc w:val="both"/>
        <w:rPr>
          <w:rFonts w:asciiTheme="majorHAnsi" w:hAnsiTheme="majorHAnsi" w:cstheme="majorHAnsi"/>
        </w:rPr>
      </w:pPr>
    </w:p>
    <w:p w14:paraId="6842B650" w14:textId="77777777" w:rsidR="00E87D50" w:rsidRPr="00B40537" w:rsidRDefault="00E87D50" w:rsidP="00AD747A">
      <w:pPr>
        <w:jc w:val="both"/>
        <w:rPr>
          <w:rFonts w:asciiTheme="majorHAnsi" w:hAnsiTheme="majorHAnsi" w:cstheme="majorHAnsi"/>
        </w:rPr>
      </w:pPr>
    </w:p>
    <w:p w14:paraId="62590383" w14:textId="77777777" w:rsidR="00E87D50" w:rsidRPr="00B40537" w:rsidRDefault="00B603D6" w:rsidP="00AD747A">
      <w:pPr>
        <w:jc w:val="both"/>
        <w:rPr>
          <w:rFonts w:asciiTheme="majorHAnsi" w:hAnsiTheme="majorHAnsi" w:cstheme="majorHAnsi"/>
        </w:rPr>
      </w:pPr>
      <w:r w:rsidRPr="00B40537">
        <w:rPr>
          <w:rFonts w:asciiTheme="majorHAnsi" w:hAnsiTheme="majorHAnsi" w:cstheme="majorHAnsi"/>
        </w:rPr>
        <w:t xml:space="preserve">  </w:t>
      </w:r>
    </w:p>
    <w:p w14:paraId="757709EC" w14:textId="33B8DD3A"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72C493A6" w14:textId="77777777" w:rsidR="00E87D50" w:rsidRPr="00B40537" w:rsidRDefault="00B603D6" w:rsidP="004F03A5">
      <w:pPr>
        <w:pStyle w:val="MainLevel"/>
      </w:pPr>
      <w:bookmarkStart w:id="16" w:name="_Toc216792786"/>
      <w:r w:rsidRPr="00B40537">
        <w:lastRenderedPageBreak/>
        <w:t>Staff Education and Mandatory Training Compliance</w:t>
      </w:r>
      <w:bookmarkEnd w:id="16"/>
    </w:p>
    <w:p w14:paraId="7F7A298F" w14:textId="32C439B3" w:rsidR="00AC29EF" w:rsidRPr="00B40537" w:rsidRDefault="00B603D6" w:rsidP="004F03A5">
      <w:pPr>
        <w:pStyle w:val="NormalWeb"/>
        <w:spacing w:before="280" w:after="280"/>
        <w:jc w:val="both"/>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682816" behindDoc="0" locked="0" layoutInCell="1" allowOverlap="1" wp14:anchorId="5E2D099B" wp14:editId="76C2E99C">
            <wp:simplePos x="0" y="0"/>
            <wp:positionH relativeFrom="column">
              <wp:posOffset>5316</wp:posOffset>
            </wp:positionH>
            <wp:positionV relativeFrom="paragraph">
              <wp:posOffset>99547</wp:posOffset>
            </wp:positionV>
            <wp:extent cx="488950" cy="488950"/>
            <wp:effectExtent l="0" t="0" r="6350" b="6350"/>
            <wp:wrapSquare wrapText="bothSides"/>
            <wp:docPr id="25" name="Picture 3"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A black background with a black square&#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88950" cy="488950"/>
                    </a:xfrm>
                    <a:prstGeom prst="rect">
                      <a:avLst/>
                    </a:prstGeom>
                  </pic:spPr>
                </pic:pic>
              </a:graphicData>
            </a:graphic>
          </wp:anchor>
        </w:drawing>
      </w:r>
      <w:r w:rsidRPr="00B40537">
        <w:rPr>
          <w:rFonts w:asciiTheme="majorHAnsi" w:hAnsiTheme="majorHAnsi" w:cstheme="majorHAnsi"/>
        </w:rPr>
        <w:t xml:space="preserve">Mandatory training compliance is monitored and reported through the Hospice Clinical Standards Group and the Clinical Governance Committee. The data is broken down into staff groups and where the area falls near or below the 90%, support is offered to highlight staff requiring training and consider how best to support completion of the training. </w:t>
      </w:r>
    </w:p>
    <w:p w14:paraId="0C994AC3" w14:textId="1FCC4159" w:rsidR="00E87D50" w:rsidRPr="00B40537" w:rsidRDefault="004F03A5" w:rsidP="00AD747A">
      <w:pPr>
        <w:ind w:left="10"/>
        <w:jc w:val="both"/>
        <w:rPr>
          <w:rFonts w:asciiTheme="majorHAnsi" w:hAnsiTheme="majorHAnsi" w:cstheme="majorHAnsi"/>
          <w:sz w:val="24"/>
        </w:rPr>
      </w:pPr>
      <w:r w:rsidRPr="00B40537">
        <w:rPr>
          <w:rFonts w:asciiTheme="majorHAnsi" w:hAnsiTheme="majorHAnsi" w:cstheme="majorHAnsi"/>
          <w:noProof/>
          <w:lang w:val="en-GB" w:eastAsia="en-GB"/>
        </w:rPr>
        <w:drawing>
          <wp:anchor distT="0" distB="0" distL="114300" distR="114300" simplePos="0" relativeHeight="251683840" behindDoc="0" locked="0" layoutInCell="1" allowOverlap="1" wp14:anchorId="36352D98" wp14:editId="03D17129">
            <wp:simplePos x="0" y="0"/>
            <wp:positionH relativeFrom="margin">
              <wp:posOffset>398145</wp:posOffset>
            </wp:positionH>
            <wp:positionV relativeFrom="paragraph">
              <wp:posOffset>436880</wp:posOffset>
            </wp:positionV>
            <wp:extent cx="5594985" cy="2339975"/>
            <wp:effectExtent l="0" t="0" r="5715" b="3175"/>
            <wp:wrapThrough wrapText="bothSides">
              <wp:wrapPolygon edited="0">
                <wp:start x="0" y="0"/>
                <wp:lineTo x="0" y="21453"/>
                <wp:lineTo x="21549" y="21453"/>
                <wp:lineTo x="21549" y="0"/>
                <wp:lineTo x="0" y="0"/>
              </wp:wrapPolygon>
            </wp:wrapThrough>
            <wp:docPr id="26" name="Object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r w:rsidR="00B603D6" w:rsidRPr="00B40537">
        <w:rPr>
          <w:rFonts w:asciiTheme="majorHAnsi" w:hAnsiTheme="majorHAnsi" w:cstheme="majorHAnsi"/>
          <w:sz w:val="24"/>
        </w:rPr>
        <w:t xml:space="preserve">For the end of 2024 – 2025 the training records for core training show above 90% in all modules, which is excellent. </w:t>
      </w:r>
    </w:p>
    <w:p w14:paraId="6FD5DF66" w14:textId="798288EF" w:rsidR="00E87D50" w:rsidRPr="00B40537" w:rsidRDefault="00E87D50" w:rsidP="004F03A5">
      <w:pPr>
        <w:jc w:val="both"/>
        <w:rPr>
          <w:rFonts w:asciiTheme="majorHAnsi" w:hAnsiTheme="majorHAnsi" w:cstheme="majorHAnsi"/>
          <w:sz w:val="24"/>
        </w:rPr>
      </w:pPr>
    </w:p>
    <w:p w14:paraId="0447581C" w14:textId="77777777" w:rsidR="004F03A5" w:rsidRPr="004F03A5" w:rsidRDefault="004F03A5" w:rsidP="004F03A5">
      <w:pPr>
        <w:spacing w:line="240" w:lineRule="auto"/>
        <w:jc w:val="center"/>
        <w:rPr>
          <w:rFonts w:asciiTheme="majorHAnsi" w:hAnsiTheme="majorHAnsi" w:cstheme="majorHAnsi"/>
          <w:sz w:val="24"/>
        </w:rPr>
      </w:pPr>
    </w:p>
    <w:p w14:paraId="7AE82D9C" w14:textId="7621A86D" w:rsidR="00E87D50" w:rsidRPr="004F03A5" w:rsidRDefault="00B603D6" w:rsidP="004F03A5">
      <w:pPr>
        <w:spacing w:line="240" w:lineRule="auto"/>
        <w:jc w:val="center"/>
        <w:rPr>
          <w:rFonts w:asciiTheme="majorHAnsi" w:hAnsiTheme="majorHAnsi" w:cstheme="majorHAnsi"/>
          <w:i/>
          <w:sz w:val="24"/>
        </w:rPr>
      </w:pPr>
      <w:r w:rsidRPr="004F03A5">
        <w:rPr>
          <w:rFonts w:asciiTheme="majorHAnsi" w:hAnsiTheme="majorHAnsi" w:cstheme="majorHAnsi"/>
          <w:i/>
          <w:sz w:val="24"/>
        </w:rPr>
        <w:t>Note: the training rate decreased as new training modules were implemented.</w:t>
      </w:r>
    </w:p>
    <w:p w14:paraId="382AA6B1" w14:textId="3E1B2AD6" w:rsidR="00E87D50" w:rsidRPr="004F03A5" w:rsidRDefault="00B603D6" w:rsidP="004F03A5">
      <w:pPr>
        <w:spacing w:line="240" w:lineRule="auto"/>
        <w:jc w:val="center"/>
        <w:rPr>
          <w:rFonts w:asciiTheme="majorHAnsi" w:hAnsiTheme="majorHAnsi" w:cstheme="majorHAnsi"/>
          <w:i/>
          <w:sz w:val="24"/>
        </w:rPr>
        <w:sectPr w:rsidR="00E87D50" w:rsidRPr="004F03A5" w:rsidSect="00B40537">
          <w:type w:val="continuous"/>
          <w:pgSz w:w="12240" w:h="15840"/>
          <w:pgMar w:top="1440" w:right="1080" w:bottom="1440" w:left="1080" w:header="0" w:footer="0" w:gutter="0"/>
          <w:cols w:space="720"/>
          <w:formProt w:val="0"/>
          <w:docGrid w:linePitch="360" w:charSpace="4096"/>
        </w:sectPr>
      </w:pPr>
      <w:r w:rsidRPr="004F03A5">
        <w:rPr>
          <w:rFonts w:asciiTheme="majorHAnsi" w:hAnsiTheme="majorHAnsi" w:cstheme="majorHAnsi"/>
          <w:i/>
          <w:sz w:val="24"/>
        </w:rPr>
        <w:t>Key training module compliance is detailed below, as of 31</w:t>
      </w:r>
      <w:r w:rsidRPr="004F03A5">
        <w:rPr>
          <w:rFonts w:asciiTheme="majorHAnsi" w:hAnsiTheme="majorHAnsi" w:cstheme="majorHAnsi"/>
          <w:i/>
          <w:sz w:val="24"/>
          <w:vertAlign w:val="superscript"/>
        </w:rPr>
        <w:t>st</w:t>
      </w:r>
      <w:r w:rsidR="004F03A5" w:rsidRPr="004F03A5">
        <w:rPr>
          <w:rFonts w:asciiTheme="majorHAnsi" w:hAnsiTheme="majorHAnsi" w:cstheme="majorHAnsi"/>
          <w:i/>
          <w:sz w:val="24"/>
        </w:rPr>
        <w:t xml:space="preserve"> March 2025.</w:t>
      </w:r>
    </w:p>
    <w:tbl>
      <w:tblPr>
        <w:tblStyle w:val="TableGrid0"/>
        <w:tblpPr w:leftFromText="180" w:rightFromText="180" w:vertAnchor="text" w:horzAnchor="margin" w:tblpXSpec="center" w:tblpY="128"/>
        <w:tblW w:w="8789" w:type="dxa"/>
        <w:tblInd w:w="0" w:type="dxa"/>
        <w:tblLayout w:type="fixed"/>
        <w:tblCellMar>
          <w:top w:w="46" w:type="dxa"/>
          <w:left w:w="107" w:type="dxa"/>
          <w:right w:w="115" w:type="dxa"/>
        </w:tblCellMar>
        <w:tblLook w:val="04A0" w:firstRow="1" w:lastRow="0" w:firstColumn="1" w:lastColumn="0" w:noHBand="0" w:noVBand="1"/>
      </w:tblPr>
      <w:tblGrid>
        <w:gridCol w:w="4947"/>
        <w:gridCol w:w="2424"/>
        <w:gridCol w:w="1418"/>
      </w:tblGrid>
      <w:tr w:rsidR="004F03A5" w:rsidRPr="00B40537" w14:paraId="1F75905E" w14:textId="77777777" w:rsidTr="004F03A5">
        <w:trPr>
          <w:trHeight w:val="593"/>
        </w:trPr>
        <w:tc>
          <w:tcPr>
            <w:tcW w:w="4947" w:type="dxa"/>
            <w:tcBorders>
              <w:top w:val="single" w:sz="4" w:space="0" w:color="000000"/>
              <w:left w:val="single" w:sz="4" w:space="0" w:color="000000"/>
              <w:bottom w:val="single" w:sz="4" w:space="0" w:color="000000"/>
              <w:right w:val="single" w:sz="4" w:space="0" w:color="000000"/>
            </w:tcBorders>
            <w:shd w:val="clear" w:color="auto" w:fill="B2A1C7" w:themeFill="accent4" w:themeFillTint="99"/>
          </w:tcPr>
          <w:p w14:paraId="346F422C" w14:textId="77777777" w:rsidR="004F03A5" w:rsidRPr="00B40537" w:rsidRDefault="004F03A5" w:rsidP="004F03A5">
            <w:pPr>
              <w:spacing w:after="0" w:line="240" w:lineRule="auto"/>
              <w:ind w:left="142"/>
              <w:rPr>
                <w:rFonts w:asciiTheme="majorHAnsi" w:hAnsiTheme="majorHAnsi" w:cstheme="majorHAnsi"/>
                <w:b/>
              </w:rPr>
            </w:pPr>
            <w:r w:rsidRPr="00B40537">
              <w:rPr>
                <w:rFonts w:asciiTheme="majorHAnsi" w:eastAsia="MS Mincho" w:hAnsiTheme="majorHAnsi" w:cstheme="majorHAnsi"/>
                <w:b/>
                <w:kern w:val="2"/>
              </w:rPr>
              <w:t xml:space="preserve">Compliance Level – 90%, </w:t>
            </w:r>
          </w:p>
        </w:tc>
        <w:tc>
          <w:tcPr>
            <w:tcW w:w="2424" w:type="dxa"/>
            <w:tcBorders>
              <w:top w:val="single" w:sz="4" w:space="0" w:color="000000"/>
              <w:left w:val="single" w:sz="4" w:space="0" w:color="000000"/>
              <w:bottom w:val="single" w:sz="4" w:space="0" w:color="000000"/>
              <w:right w:val="single" w:sz="4" w:space="0" w:color="000000"/>
            </w:tcBorders>
            <w:shd w:val="clear" w:color="auto" w:fill="B2A1C7" w:themeFill="accent4" w:themeFillTint="99"/>
          </w:tcPr>
          <w:p w14:paraId="2B4A5F9D" w14:textId="77777777" w:rsidR="004F03A5" w:rsidRPr="00B40537" w:rsidRDefault="004F03A5" w:rsidP="004F03A5">
            <w:pPr>
              <w:spacing w:after="0" w:line="240" w:lineRule="auto"/>
              <w:ind w:left="142"/>
              <w:rPr>
                <w:rFonts w:asciiTheme="majorHAnsi" w:hAnsiTheme="majorHAnsi" w:cstheme="majorHAnsi"/>
                <w:b/>
              </w:rPr>
            </w:pPr>
            <w:r>
              <w:rPr>
                <w:rFonts w:asciiTheme="majorHAnsi" w:eastAsia="MS Mincho" w:hAnsiTheme="majorHAnsi" w:cstheme="majorHAnsi"/>
                <w:b/>
                <w:kern w:val="2"/>
              </w:rPr>
              <w:t xml:space="preserve">Staff </w:t>
            </w:r>
            <w:r w:rsidRPr="00B40537">
              <w:rPr>
                <w:rFonts w:asciiTheme="majorHAnsi" w:eastAsia="MS Mincho" w:hAnsiTheme="majorHAnsi" w:cstheme="majorHAnsi"/>
                <w:b/>
                <w:kern w:val="2"/>
              </w:rPr>
              <w:t xml:space="preserve">completed training </w:t>
            </w:r>
          </w:p>
        </w:tc>
        <w:tc>
          <w:tcPr>
            <w:tcW w:w="1418" w:type="dxa"/>
            <w:tcBorders>
              <w:top w:val="single" w:sz="4" w:space="0" w:color="000000"/>
              <w:left w:val="single" w:sz="4" w:space="0" w:color="000000"/>
              <w:bottom w:val="single" w:sz="4" w:space="0" w:color="000000"/>
              <w:right w:val="single" w:sz="4" w:space="0" w:color="000000"/>
            </w:tcBorders>
            <w:shd w:val="clear" w:color="auto" w:fill="B2A1C7" w:themeFill="accent4" w:themeFillTint="99"/>
            <w:vAlign w:val="center"/>
          </w:tcPr>
          <w:p w14:paraId="5F42C467" w14:textId="77777777" w:rsidR="004F03A5" w:rsidRPr="00B40537" w:rsidRDefault="004F03A5" w:rsidP="004F03A5">
            <w:pPr>
              <w:spacing w:after="0" w:line="240" w:lineRule="auto"/>
              <w:ind w:left="142"/>
              <w:rPr>
                <w:rFonts w:asciiTheme="majorHAnsi" w:hAnsiTheme="majorHAnsi" w:cstheme="majorHAnsi"/>
                <w:b/>
              </w:rPr>
            </w:pPr>
            <w:r w:rsidRPr="00B40537">
              <w:rPr>
                <w:rFonts w:asciiTheme="majorHAnsi" w:eastAsia="MS Mincho" w:hAnsiTheme="majorHAnsi" w:cstheme="majorHAnsi"/>
                <w:b/>
                <w:kern w:val="2"/>
              </w:rPr>
              <w:t xml:space="preserve">2024 - 25 </w:t>
            </w:r>
          </w:p>
        </w:tc>
      </w:tr>
      <w:tr w:rsidR="004F03A5" w:rsidRPr="00B40537" w14:paraId="47D60840" w14:textId="77777777" w:rsidTr="004F03A5">
        <w:trPr>
          <w:trHeight w:val="315"/>
        </w:trPr>
        <w:tc>
          <w:tcPr>
            <w:tcW w:w="4947" w:type="dxa"/>
            <w:vMerge w:val="restart"/>
            <w:tcBorders>
              <w:top w:val="single" w:sz="4" w:space="0" w:color="000000"/>
              <w:left w:val="single" w:sz="4" w:space="0" w:color="000000"/>
              <w:bottom w:val="double" w:sz="4" w:space="0" w:color="000000"/>
              <w:right w:val="single" w:sz="4" w:space="0" w:color="000000"/>
            </w:tcBorders>
            <w:vAlign w:val="center"/>
          </w:tcPr>
          <w:p w14:paraId="7C301DAB"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Safeguarding Adults at risk Training </w:t>
            </w:r>
          </w:p>
          <w:p w14:paraId="5CEF19D0"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 </w:t>
            </w:r>
          </w:p>
        </w:tc>
        <w:tc>
          <w:tcPr>
            <w:tcW w:w="2424" w:type="dxa"/>
            <w:tcBorders>
              <w:top w:val="double" w:sz="4" w:space="0" w:color="000000"/>
              <w:left w:val="single" w:sz="4" w:space="0" w:color="000000"/>
              <w:bottom w:val="single" w:sz="4" w:space="0" w:color="000000"/>
              <w:right w:val="single" w:sz="4" w:space="0" w:color="000000"/>
            </w:tcBorders>
          </w:tcPr>
          <w:p w14:paraId="5BBE2198"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b/>
                <w:kern w:val="2"/>
              </w:rPr>
              <w:t xml:space="preserve">Level 1  </w:t>
            </w:r>
          </w:p>
        </w:tc>
        <w:tc>
          <w:tcPr>
            <w:tcW w:w="1418" w:type="dxa"/>
            <w:tcBorders>
              <w:top w:val="single" w:sz="4" w:space="0" w:color="000000"/>
              <w:left w:val="single" w:sz="4" w:space="0" w:color="000000"/>
              <w:right w:val="single" w:sz="8" w:space="0" w:color="000000"/>
            </w:tcBorders>
          </w:tcPr>
          <w:p w14:paraId="281BA6AD"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98%</w:t>
            </w:r>
          </w:p>
        </w:tc>
      </w:tr>
      <w:tr w:rsidR="004F03A5" w:rsidRPr="00B40537" w14:paraId="0A253B02" w14:textId="77777777" w:rsidTr="004F03A5">
        <w:trPr>
          <w:trHeight w:val="315"/>
        </w:trPr>
        <w:tc>
          <w:tcPr>
            <w:tcW w:w="4947" w:type="dxa"/>
            <w:vMerge/>
            <w:tcBorders>
              <w:left w:val="single" w:sz="4" w:space="0" w:color="000000"/>
              <w:bottom w:val="double" w:sz="4" w:space="0" w:color="000000"/>
              <w:right w:val="single" w:sz="4" w:space="0" w:color="000000"/>
            </w:tcBorders>
            <w:vAlign w:val="center"/>
          </w:tcPr>
          <w:p w14:paraId="79074B13" w14:textId="77777777" w:rsidR="004F03A5" w:rsidRPr="00B40537" w:rsidRDefault="004F03A5" w:rsidP="004F03A5">
            <w:pPr>
              <w:spacing w:after="0" w:line="259" w:lineRule="auto"/>
              <w:rPr>
                <w:rFonts w:asciiTheme="majorHAnsi" w:hAnsiTheme="majorHAnsi" w:cstheme="majorHAnsi"/>
              </w:rPr>
            </w:pPr>
          </w:p>
        </w:tc>
        <w:tc>
          <w:tcPr>
            <w:tcW w:w="2424" w:type="dxa"/>
            <w:tcBorders>
              <w:top w:val="single" w:sz="4" w:space="0" w:color="000000"/>
              <w:left w:val="single" w:sz="4" w:space="0" w:color="000000"/>
              <w:bottom w:val="double" w:sz="4" w:space="0" w:color="000000"/>
              <w:right w:val="single" w:sz="4" w:space="0" w:color="000000"/>
            </w:tcBorders>
          </w:tcPr>
          <w:p w14:paraId="27D81137"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b/>
                <w:kern w:val="2"/>
              </w:rPr>
              <w:t xml:space="preserve">Level 3  </w:t>
            </w:r>
          </w:p>
        </w:tc>
        <w:tc>
          <w:tcPr>
            <w:tcW w:w="1418" w:type="dxa"/>
            <w:tcBorders>
              <w:left w:val="single" w:sz="4" w:space="0" w:color="000000"/>
              <w:bottom w:val="single" w:sz="8" w:space="0" w:color="000000"/>
              <w:right w:val="single" w:sz="8" w:space="0" w:color="000000"/>
            </w:tcBorders>
          </w:tcPr>
          <w:p w14:paraId="27192175"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96%</w:t>
            </w:r>
          </w:p>
        </w:tc>
      </w:tr>
      <w:tr w:rsidR="004F03A5" w:rsidRPr="00B40537" w14:paraId="300D17DA" w14:textId="77777777" w:rsidTr="004F03A5">
        <w:trPr>
          <w:trHeight w:val="288"/>
        </w:trPr>
        <w:tc>
          <w:tcPr>
            <w:tcW w:w="4947" w:type="dxa"/>
            <w:vMerge w:val="restart"/>
            <w:tcBorders>
              <w:top w:val="double" w:sz="4" w:space="0" w:color="000000"/>
              <w:left w:val="single" w:sz="4" w:space="0" w:color="000000"/>
              <w:bottom w:val="double" w:sz="4" w:space="0" w:color="000000"/>
              <w:right w:val="single" w:sz="4" w:space="0" w:color="000000"/>
            </w:tcBorders>
            <w:vAlign w:val="center"/>
          </w:tcPr>
          <w:p w14:paraId="5155635D"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Safeguarding Children at risk Training  </w:t>
            </w:r>
          </w:p>
          <w:p w14:paraId="53D1C3FF"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 </w:t>
            </w:r>
          </w:p>
        </w:tc>
        <w:tc>
          <w:tcPr>
            <w:tcW w:w="2424" w:type="dxa"/>
            <w:tcBorders>
              <w:top w:val="double" w:sz="4" w:space="0" w:color="000000"/>
              <w:left w:val="single" w:sz="4" w:space="0" w:color="000000"/>
              <w:bottom w:val="single" w:sz="4" w:space="0" w:color="000000"/>
              <w:right w:val="single" w:sz="4" w:space="0" w:color="000000"/>
            </w:tcBorders>
          </w:tcPr>
          <w:p w14:paraId="3158E5FA"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b/>
                <w:kern w:val="2"/>
              </w:rPr>
              <w:t xml:space="preserve">Level 1  </w:t>
            </w:r>
          </w:p>
        </w:tc>
        <w:tc>
          <w:tcPr>
            <w:tcW w:w="1418" w:type="dxa"/>
            <w:tcBorders>
              <w:top w:val="double" w:sz="4" w:space="0" w:color="000000"/>
              <w:left w:val="single" w:sz="4" w:space="0" w:color="000000"/>
              <w:bottom w:val="single" w:sz="4" w:space="0" w:color="000000"/>
              <w:right w:val="single" w:sz="8" w:space="0" w:color="000000"/>
            </w:tcBorders>
          </w:tcPr>
          <w:p w14:paraId="3A7B8794"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 xml:space="preserve">98% </w:t>
            </w:r>
          </w:p>
        </w:tc>
      </w:tr>
      <w:tr w:rsidR="004F03A5" w:rsidRPr="00B40537" w14:paraId="1657CB8A" w14:textId="77777777" w:rsidTr="004F03A5">
        <w:trPr>
          <w:trHeight w:val="288"/>
        </w:trPr>
        <w:tc>
          <w:tcPr>
            <w:tcW w:w="4947" w:type="dxa"/>
            <w:vMerge/>
            <w:tcBorders>
              <w:left w:val="single" w:sz="4" w:space="0" w:color="000000"/>
              <w:bottom w:val="double" w:sz="4" w:space="0" w:color="000000"/>
              <w:right w:val="single" w:sz="4" w:space="0" w:color="000000"/>
            </w:tcBorders>
          </w:tcPr>
          <w:p w14:paraId="0158CCEF" w14:textId="77777777" w:rsidR="004F03A5" w:rsidRPr="00B40537" w:rsidRDefault="004F03A5" w:rsidP="004F03A5">
            <w:pPr>
              <w:spacing w:after="160" w:line="259" w:lineRule="auto"/>
              <w:rPr>
                <w:rFonts w:asciiTheme="majorHAnsi" w:hAnsiTheme="majorHAnsi" w:cstheme="majorHAnsi"/>
              </w:rPr>
            </w:pPr>
          </w:p>
        </w:tc>
        <w:tc>
          <w:tcPr>
            <w:tcW w:w="2424" w:type="dxa"/>
            <w:tcBorders>
              <w:top w:val="single" w:sz="4" w:space="0" w:color="000000"/>
              <w:left w:val="single" w:sz="4" w:space="0" w:color="000000"/>
              <w:bottom w:val="double" w:sz="4" w:space="0" w:color="000000"/>
              <w:right w:val="single" w:sz="4" w:space="0" w:color="000000"/>
            </w:tcBorders>
          </w:tcPr>
          <w:p w14:paraId="46BA8BEB"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b/>
                <w:kern w:val="2"/>
              </w:rPr>
              <w:t xml:space="preserve">Level 3  </w:t>
            </w:r>
          </w:p>
        </w:tc>
        <w:tc>
          <w:tcPr>
            <w:tcW w:w="1418" w:type="dxa"/>
            <w:tcBorders>
              <w:top w:val="single" w:sz="4" w:space="0" w:color="000000"/>
              <w:left w:val="single" w:sz="4" w:space="0" w:color="000000"/>
              <w:bottom w:val="double" w:sz="4" w:space="0" w:color="000000"/>
              <w:right w:val="single" w:sz="8" w:space="0" w:color="000000"/>
            </w:tcBorders>
          </w:tcPr>
          <w:p w14:paraId="7D969ED2" w14:textId="77777777" w:rsidR="004F03A5" w:rsidRPr="00B40537" w:rsidRDefault="004F03A5" w:rsidP="004F03A5">
            <w:pPr>
              <w:spacing w:after="0" w:line="259" w:lineRule="auto"/>
              <w:ind w:left="8"/>
              <w:rPr>
                <w:rFonts w:asciiTheme="majorHAnsi" w:hAnsiTheme="majorHAnsi" w:cstheme="majorHAnsi"/>
              </w:rPr>
            </w:pPr>
            <w:r w:rsidRPr="00B40537">
              <w:rPr>
                <w:rFonts w:asciiTheme="majorHAnsi" w:eastAsia="MS Mincho" w:hAnsiTheme="majorHAnsi" w:cstheme="majorHAnsi"/>
                <w:kern w:val="2"/>
              </w:rPr>
              <w:t xml:space="preserve">96% </w:t>
            </w:r>
          </w:p>
        </w:tc>
      </w:tr>
      <w:tr w:rsidR="004F03A5" w:rsidRPr="00B40537" w14:paraId="4FB2948B" w14:textId="77777777" w:rsidTr="004F03A5">
        <w:trPr>
          <w:trHeight w:val="277"/>
        </w:trPr>
        <w:tc>
          <w:tcPr>
            <w:tcW w:w="7371" w:type="dxa"/>
            <w:gridSpan w:val="2"/>
            <w:tcBorders>
              <w:top w:val="double" w:sz="4" w:space="0" w:color="000000"/>
              <w:left w:val="single" w:sz="4" w:space="0" w:color="000000"/>
              <w:bottom w:val="single" w:sz="4" w:space="0" w:color="000000"/>
              <w:right w:val="single" w:sz="4" w:space="0" w:color="000000"/>
            </w:tcBorders>
          </w:tcPr>
          <w:p w14:paraId="41281A51"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Mental Capacity  </w:t>
            </w:r>
          </w:p>
        </w:tc>
        <w:tc>
          <w:tcPr>
            <w:tcW w:w="1418" w:type="dxa"/>
            <w:tcBorders>
              <w:top w:val="double" w:sz="4" w:space="0" w:color="000000"/>
              <w:left w:val="single" w:sz="4" w:space="0" w:color="000000"/>
              <w:bottom w:val="single" w:sz="8" w:space="0" w:color="000000"/>
              <w:right w:val="single" w:sz="8" w:space="0" w:color="000000"/>
            </w:tcBorders>
            <w:vAlign w:val="center"/>
          </w:tcPr>
          <w:p w14:paraId="3A865D35"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 xml:space="preserve">93.3% </w:t>
            </w:r>
          </w:p>
        </w:tc>
      </w:tr>
      <w:tr w:rsidR="004F03A5" w:rsidRPr="00B40537" w14:paraId="2BEEC149" w14:textId="77777777" w:rsidTr="004F03A5">
        <w:trPr>
          <w:trHeight w:val="307"/>
        </w:trPr>
        <w:tc>
          <w:tcPr>
            <w:tcW w:w="7371" w:type="dxa"/>
            <w:gridSpan w:val="2"/>
            <w:tcBorders>
              <w:top w:val="single" w:sz="4" w:space="0" w:color="000000"/>
              <w:left w:val="single" w:sz="4" w:space="0" w:color="000000"/>
              <w:bottom w:val="single" w:sz="4" w:space="0" w:color="000000"/>
              <w:right w:val="single" w:sz="4" w:space="0" w:color="000000"/>
            </w:tcBorders>
          </w:tcPr>
          <w:p w14:paraId="10F96D9E" w14:textId="77777777" w:rsidR="004F03A5" w:rsidRPr="00B40537" w:rsidRDefault="004F03A5" w:rsidP="004F03A5">
            <w:pPr>
              <w:spacing w:after="0" w:line="259" w:lineRule="auto"/>
              <w:rPr>
                <w:rFonts w:asciiTheme="majorHAnsi" w:hAnsiTheme="majorHAnsi" w:cstheme="majorHAnsi"/>
                <w:b/>
              </w:rPr>
            </w:pPr>
            <w:r w:rsidRPr="00B40537">
              <w:rPr>
                <w:rFonts w:asciiTheme="majorHAnsi" w:eastAsia="MS Mincho" w:hAnsiTheme="majorHAnsi" w:cstheme="majorHAnsi"/>
                <w:kern w:val="2"/>
              </w:rPr>
              <w:t>Dementia Awareness</w:t>
            </w:r>
          </w:p>
        </w:tc>
        <w:tc>
          <w:tcPr>
            <w:tcW w:w="1418" w:type="dxa"/>
            <w:tcBorders>
              <w:top w:val="single" w:sz="8" w:space="0" w:color="000000"/>
              <w:left w:val="single" w:sz="4" w:space="0" w:color="000000"/>
              <w:bottom w:val="single" w:sz="8" w:space="0" w:color="000000"/>
              <w:right w:val="single" w:sz="8" w:space="0" w:color="000000"/>
            </w:tcBorders>
          </w:tcPr>
          <w:p w14:paraId="4BEF0710"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94%</w:t>
            </w:r>
          </w:p>
        </w:tc>
      </w:tr>
      <w:tr w:rsidR="004F03A5" w:rsidRPr="00B40537" w14:paraId="7F8B7F83" w14:textId="77777777" w:rsidTr="004F03A5">
        <w:trPr>
          <w:trHeight w:val="307"/>
        </w:trPr>
        <w:tc>
          <w:tcPr>
            <w:tcW w:w="7371" w:type="dxa"/>
            <w:gridSpan w:val="2"/>
            <w:tcBorders>
              <w:top w:val="single" w:sz="4" w:space="0" w:color="000000"/>
              <w:left w:val="single" w:sz="4" w:space="0" w:color="000000"/>
              <w:bottom w:val="single" w:sz="4" w:space="0" w:color="000000"/>
              <w:right w:val="single" w:sz="4" w:space="0" w:color="000000"/>
            </w:tcBorders>
          </w:tcPr>
          <w:p w14:paraId="0179EA82"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Deprivation of Liberty Safeguarding (DoLs) </w:t>
            </w:r>
          </w:p>
        </w:tc>
        <w:tc>
          <w:tcPr>
            <w:tcW w:w="1418" w:type="dxa"/>
            <w:tcBorders>
              <w:top w:val="single" w:sz="8" w:space="0" w:color="000000"/>
              <w:left w:val="single" w:sz="4" w:space="0" w:color="000000"/>
              <w:bottom w:val="single" w:sz="8" w:space="0" w:color="000000"/>
              <w:right w:val="single" w:sz="8" w:space="0" w:color="000000"/>
            </w:tcBorders>
          </w:tcPr>
          <w:p w14:paraId="3D2640AA"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 xml:space="preserve">90% </w:t>
            </w:r>
          </w:p>
        </w:tc>
      </w:tr>
      <w:tr w:rsidR="004F03A5" w:rsidRPr="00B40537" w14:paraId="2685D864" w14:textId="77777777" w:rsidTr="004F03A5">
        <w:trPr>
          <w:trHeight w:val="307"/>
        </w:trPr>
        <w:tc>
          <w:tcPr>
            <w:tcW w:w="7371" w:type="dxa"/>
            <w:gridSpan w:val="2"/>
            <w:tcBorders>
              <w:top w:val="single" w:sz="4" w:space="0" w:color="000000"/>
              <w:left w:val="single" w:sz="4" w:space="0" w:color="000000"/>
              <w:bottom w:val="single" w:sz="4" w:space="0" w:color="000000"/>
              <w:right w:val="single" w:sz="4" w:space="0" w:color="000000"/>
            </w:tcBorders>
          </w:tcPr>
          <w:p w14:paraId="25A7D461"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Mental Capacity Act</w:t>
            </w:r>
          </w:p>
        </w:tc>
        <w:tc>
          <w:tcPr>
            <w:tcW w:w="1418" w:type="dxa"/>
            <w:tcBorders>
              <w:top w:val="single" w:sz="8" w:space="0" w:color="000000"/>
              <w:left w:val="single" w:sz="4" w:space="0" w:color="000000"/>
              <w:bottom w:val="single" w:sz="8" w:space="0" w:color="000000"/>
              <w:right w:val="single" w:sz="8" w:space="0" w:color="000000"/>
            </w:tcBorders>
          </w:tcPr>
          <w:p w14:paraId="328B5698"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93%</w:t>
            </w:r>
          </w:p>
        </w:tc>
      </w:tr>
      <w:tr w:rsidR="004F03A5" w:rsidRPr="00B40537" w14:paraId="14E36CDA" w14:textId="77777777" w:rsidTr="004F03A5">
        <w:trPr>
          <w:trHeight w:val="307"/>
        </w:trPr>
        <w:tc>
          <w:tcPr>
            <w:tcW w:w="7371" w:type="dxa"/>
            <w:gridSpan w:val="2"/>
            <w:tcBorders>
              <w:top w:val="single" w:sz="4" w:space="0" w:color="000000"/>
              <w:left w:val="single" w:sz="4" w:space="0" w:color="000000"/>
              <w:bottom w:val="single" w:sz="4" w:space="0" w:color="000000"/>
              <w:right w:val="single" w:sz="4" w:space="0" w:color="000000"/>
            </w:tcBorders>
          </w:tcPr>
          <w:p w14:paraId="77CB3FA1"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Whistleblowing</w:t>
            </w:r>
          </w:p>
        </w:tc>
        <w:tc>
          <w:tcPr>
            <w:tcW w:w="1418" w:type="dxa"/>
            <w:tcBorders>
              <w:top w:val="single" w:sz="8" w:space="0" w:color="000000"/>
              <w:left w:val="single" w:sz="4" w:space="0" w:color="000000"/>
              <w:bottom w:val="single" w:sz="8" w:space="0" w:color="000000"/>
              <w:right w:val="single" w:sz="8" w:space="0" w:color="000000"/>
            </w:tcBorders>
          </w:tcPr>
          <w:p w14:paraId="4B54F262"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 xml:space="preserve">99% </w:t>
            </w:r>
          </w:p>
        </w:tc>
      </w:tr>
      <w:tr w:rsidR="004F03A5" w:rsidRPr="00B40537" w14:paraId="40B6330A" w14:textId="77777777" w:rsidTr="004F03A5">
        <w:trPr>
          <w:trHeight w:val="307"/>
        </w:trPr>
        <w:tc>
          <w:tcPr>
            <w:tcW w:w="7371" w:type="dxa"/>
            <w:gridSpan w:val="2"/>
            <w:tcBorders>
              <w:top w:val="single" w:sz="4" w:space="0" w:color="000000"/>
              <w:left w:val="single" w:sz="4" w:space="0" w:color="000000"/>
              <w:bottom w:val="single" w:sz="4" w:space="0" w:color="000000"/>
              <w:right w:val="single" w:sz="4" w:space="0" w:color="000000"/>
            </w:tcBorders>
          </w:tcPr>
          <w:p w14:paraId="73D3931A"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Supporting People with a Learning Disability – Tier 1</w:t>
            </w:r>
          </w:p>
        </w:tc>
        <w:tc>
          <w:tcPr>
            <w:tcW w:w="1418" w:type="dxa"/>
            <w:tcBorders>
              <w:top w:val="single" w:sz="8" w:space="0" w:color="000000"/>
              <w:left w:val="single" w:sz="4" w:space="0" w:color="000000"/>
              <w:bottom w:val="single" w:sz="8" w:space="0" w:color="000000"/>
              <w:right w:val="single" w:sz="8" w:space="0" w:color="000000"/>
            </w:tcBorders>
          </w:tcPr>
          <w:p w14:paraId="16BF3739"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93%</w:t>
            </w:r>
          </w:p>
        </w:tc>
      </w:tr>
      <w:tr w:rsidR="004F03A5" w:rsidRPr="00B40537" w14:paraId="3DB460E4" w14:textId="77777777" w:rsidTr="004F03A5">
        <w:trPr>
          <w:trHeight w:val="308"/>
        </w:trPr>
        <w:tc>
          <w:tcPr>
            <w:tcW w:w="7371" w:type="dxa"/>
            <w:gridSpan w:val="2"/>
            <w:tcBorders>
              <w:top w:val="single" w:sz="4" w:space="0" w:color="000000"/>
              <w:left w:val="single" w:sz="4" w:space="0" w:color="000000"/>
              <w:bottom w:val="single" w:sz="4" w:space="0" w:color="000000"/>
              <w:right w:val="single" w:sz="4" w:space="0" w:color="000000"/>
            </w:tcBorders>
          </w:tcPr>
          <w:p w14:paraId="28D0DC5A" w14:textId="77777777" w:rsidR="004F03A5" w:rsidRPr="00B40537" w:rsidRDefault="004F03A5" w:rsidP="004F03A5">
            <w:pPr>
              <w:spacing w:after="0" w:line="259" w:lineRule="auto"/>
              <w:rPr>
                <w:rFonts w:asciiTheme="majorHAnsi" w:hAnsiTheme="majorHAnsi" w:cstheme="majorHAnsi"/>
              </w:rPr>
            </w:pPr>
            <w:r w:rsidRPr="00B40537">
              <w:rPr>
                <w:rFonts w:asciiTheme="majorHAnsi" w:eastAsia="MS Mincho" w:hAnsiTheme="majorHAnsi" w:cstheme="majorHAnsi"/>
                <w:kern w:val="2"/>
              </w:rPr>
              <w:t xml:space="preserve">Preventing Radicalisation </w:t>
            </w:r>
          </w:p>
        </w:tc>
        <w:tc>
          <w:tcPr>
            <w:tcW w:w="1418" w:type="dxa"/>
            <w:tcBorders>
              <w:top w:val="single" w:sz="8" w:space="0" w:color="000000"/>
              <w:left w:val="single" w:sz="4" w:space="0" w:color="000000"/>
              <w:bottom w:val="single" w:sz="8" w:space="0" w:color="000000"/>
              <w:right w:val="single" w:sz="8" w:space="0" w:color="000000"/>
            </w:tcBorders>
          </w:tcPr>
          <w:p w14:paraId="6FA23ABD" w14:textId="77777777" w:rsidR="004F03A5" w:rsidRPr="00B40537" w:rsidRDefault="004F03A5" w:rsidP="004F03A5">
            <w:pPr>
              <w:spacing w:after="0" w:line="259" w:lineRule="auto"/>
              <w:ind w:left="10"/>
              <w:rPr>
                <w:rFonts w:asciiTheme="majorHAnsi" w:hAnsiTheme="majorHAnsi" w:cstheme="majorHAnsi"/>
              </w:rPr>
            </w:pPr>
            <w:r w:rsidRPr="00B40537">
              <w:rPr>
                <w:rFonts w:asciiTheme="majorHAnsi" w:eastAsia="MS Mincho" w:hAnsiTheme="majorHAnsi" w:cstheme="majorHAnsi"/>
                <w:kern w:val="2"/>
              </w:rPr>
              <w:t xml:space="preserve">99% </w:t>
            </w:r>
          </w:p>
        </w:tc>
      </w:tr>
    </w:tbl>
    <w:p w14:paraId="5749B93A" w14:textId="77777777" w:rsidR="00E87D50" w:rsidRPr="00B40537" w:rsidRDefault="00E87D50" w:rsidP="004F03A5">
      <w:pPr>
        <w:pStyle w:val="FrameContents"/>
      </w:pPr>
    </w:p>
    <w:p w14:paraId="001E190C" w14:textId="77777777" w:rsidR="00AC29EF" w:rsidRPr="00B40537" w:rsidRDefault="00AC29EF"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64E6CAB5" w14:textId="77777777" w:rsidR="00C1666F" w:rsidRPr="00B40537" w:rsidRDefault="00C1666F"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41A08646" w14:textId="77777777" w:rsidR="004F03A5" w:rsidRDefault="004F03A5"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66C568EA" w14:textId="77777777" w:rsidR="004F03A5" w:rsidRDefault="004F03A5"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4ECC1D57" w14:textId="77777777" w:rsidR="004F03A5" w:rsidRDefault="004F03A5"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30D03401" w14:textId="77777777" w:rsidR="004F03A5" w:rsidRDefault="004F03A5"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3AF66973" w14:textId="77777777" w:rsidR="004F03A5" w:rsidRDefault="004F03A5" w:rsidP="00AD747A">
      <w:pPr>
        <w:pStyle w:val="NormalWeb"/>
        <w:spacing w:before="280" w:after="280"/>
        <w:jc w:val="both"/>
        <w:rPr>
          <w:rFonts w:asciiTheme="majorHAnsi" w:hAnsiTheme="majorHAnsi" w:cstheme="majorHAnsi"/>
          <w:b/>
          <w:bCs/>
          <w:color w:val="5F497A" w:themeColor="accent4" w:themeShade="BF"/>
          <w:sz w:val="28"/>
          <w:szCs w:val="28"/>
          <w:u w:val="single"/>
        </w:rPr>
      </w:pPr>
    </w:p>
    <w:p w14:paraId="6487C211" w14:textId="4D93D244" w:rsidR="00E87D50" w:rsidRPr="00B40537" w:rsidRDefault="00B603D6" w:rsidP="00454016">
      <w:pPr>
        <w:pStyle w:val="MainLevel"/>
      </w:pPr>
      <w:bookmarkStart w:id="17" w:name="_Toc216792787"/>
      <w:r w:rsidRPr="00B40537">
        <w:lastRenderedPageBreak/>
        <w:t>Patient Safety</w:t>
      </w:r>
      <w:bookmarkEnd w:id="17"/>
    </w:p>
    <w:p w14:paraId="472CE855" w14:textId="77777777" w:rsidR="00E87D50" w:rsidRPr="00B40537" w:rsidRDefault="00B603D6" w:rsidP="00454016">
      <w:pPr>
        <w:pStyle w:val="Level1"/>
        <w:outlineLvl w:val="1"/>
      </w:pPr>
      <w:bookmarkStart w:id="18" w:name="_Toc216792788"/>
      <w:r w:rsidRPr="00B40537">
        <w:t>Infection Prevention and Control</w:t>
      </w:r>
      <w:bookmarkEnd w:id="18"/>
    </w:p>
    <w:p w14:paraId="20D9DCC6" w14:textId="77777777" w:rsidR="00E87D50" w:rsidRPr="00B40537" w:rsidRDefault="00B603D6" w:rsidP="00AD747A">
      <w:pPr>
        <w:pStyle w:val="NormalWeb"/>
        <w:spacing w:beforeAutospacing="0" w:after="0" w:afterAutospacing="0"/>
        <w:jc w:val="both"/>
        <w:rPr>
          <w:rFonts w:asciiTheme="majorHAnsi" w:hAnsiTheme="majorHAnsi" w:cstheme="majorHAnsi"/>
        </w:rPr>
      </w:pPr>
      <w:r w:rsidRPr="00B40537">
        <w:rPr>
          <w:rFonts w:asciiTheme="majorHAnsi" w:hAnsiTheme="majorHAnsi" w:cstheme="majorHAnsi"/>
        </w:rPr>
        <w:t>Throughout 2024/25, Bury Hospice has upheld its commitment to providing a safe and healthy environment for patients, families, staff, and volunteers. Infection prevention and control has remained a top priority, with robust protocols in place to minimise the risk of healthcare-associated infections. These measures are continually reviewed and implemented in line with the latest national and international guidance, ensuring that the highest standards of care and safety are maintained across our Hospice.</w:t>
      </w:r>
    </w:p>
    <w:p w14:paraId="60F74DE0" w14:textId="77777777" w:rsidR="00E87D50" w:rsidRPr="00B40537" w:rsidRDefault="00B603D6" w:rsidP="00AD747A">
      <w:pPr>
        <w:pStyle w:val="NormalWeb"/>
        <w:spacing w:before="280" w:after="280"/>
        <w:jc w:val="both"/>
        <w:rPr>
          <w:rFonts w:asciiTheme="majorHAnsi" w:hAnsiTheme="majorHAnsi" w:cstheme="majorHAnsi"/>
        </w:rPr>
      </w:pPr>
      <w:r w:rsidRPr="00B40537">
        <w:rPr>
          <w:rFonts w:asciiTheme="majorHAnsi" w:hAnsiTheme="majorHAnsi" w:cstheme="majorHAnsi"/>
        </w:rPr>
        <w:t xml:space="preserve">Our focus is on minimizing healthcare-associated infection risks while ensuring the health and wellbeing of all involved. Infection control practices are guided by evidence-based approaches, with ongoing monitoring and enhancement. </w:t>
      </w:r>
    </w:p>
    <w:tbl>
      <w:tblPr>
        <w:tblStyle w:val="TableGrid"/>
        <w:tblW w:w="8075" w:type="dxa"/>
        <w:tblInd w:w="1024" w:type="dxa"/>
        <w:tblLayout w:type="fixed"/>
        <w:tblLook w:val="04A0" w:firstRow="1" w:lastRow="0" w:firstColumn="1" w:lastColumn="0" w:noHBand="0" w:noVBand="1"/>
      </w:tblPr>
      <w:tblGrid>
        <w:gridCol w:w="6658"/>
        <w:gridCol w:w="1417"/>
      </w:tblGrid>
      <w:tr w:rsidR="00E87D50" w:rsidRPr="00B40537" w14:paraId="0C562FED" w14:textId="77777777" w:rsidTr="00454016">
        <w:tc>
          <w:tcPr>
            <w:tcW w:w="8075" w:type="dxa"/>
            <w:gridSpan w:val="2"/>
            <w:shd w:val="clear" w:color="auto" w:fill="B2A1C7" w:themeFill="accent4" w:themeFillTint="99"/>
          </w:tcPr>
          <w:p w14:paraId="0A738230" w14:textId="77777777" w:rsidR="00E87D50" w:rsidRPr="00B40537" w:rsidRDefault="00B603D6" w:rsidP="00AD747A">
            <w:pPr>
              <w:pStyle w:val="NormalWeb"/>
              <w:spacing w:after="0"/>
              <w:jc w:val="both"/>
              <w:rPr>
                <w:rFonts w:asciiTheme="majorHAnsi" w:hAnsiTheme="majorHAnsi" w:cstheme="majorHAnsi"/>
                <w:b/>
                <w:bCs/>
              </w:rPr>
            </w:pPr>
            <w:r w:rsidRPr="00B40537">
              <w:rPr>
                <w:rFonts w:asciiTheme="majorHAnsi" w:hAnsiTheme="majorHAnsi" w:cstheme="majorHAnsi"/>
                <w:b/>
                <w:bCs/>
              </w:rPr>
              <w:t>Surveillance Data April 2024 - March 2025</w:t>
            </w:r>
          </w:p>
        </w:tc>
      </w:tr>
      <w:tr w:rsidR="00E87D50" w:rsidRPr="00B40537" w14:paraId="3B8BC433" w14:textId="77777777" w:rsidTr="00454016">
        <w:tc>
          <w:tcPr>
            <w:tcW w:w="6658" w:type="dxa"/>
          </w:tcPr>
          <w:p w14:paraId="61794B52"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 xml:space="preserve">Clostridium difficile </w:t>
            </w:r>
          </w:p>
        </w:tc>
        <w:tc>
          <w:tcPr>
            <w:tcW w:w="1417" w:type="dxa"/>
          </w:tcPr>
          <w:p w14:paraId="054B79C9" w14:textId="77777777" w:rsidR="00E87D50" w:rsidRPr="00B40537" w:rsidRDefault="002D5A1F" w:rsidP="00AD747A">
            <w:pPr>
              <w:pStyle w:val="NormalWeb"/>
              <w:spacing w:after="0"/>
              <w:jc w:val="both"/>
              <w:rPr>
                <w:rFonts w:asciiTheme="majorHAnsi" w:hAnsiTheme="majorHAnsi" w:cstheme="majorHAnsi"/>
              </w:rPr>
            </w:pPr>
            <w:r w:rsidRPr="00B40537">
              <w:rPr>
                <w:rFonts w:asciiTheme="majorHAnsi" w:hAnsiTheme="majorHAnsi" w:cstheme="majorHAnsi"/>
              </w:rPr>
              <w:t>0</w:t>
            </w:r>
          </w:p>
        </w:tc>
      </w:tr>
      <w:tr w:rsidR="00E87D50" w:rsidRPr="00B40537" w14:paraId="0452903D" w14:textId="77777777" w:rsidTr="00454016">
        <w:tc>
          <w:tcPr>
            <w:tcW w:w="6658" w:type="dxa"/>
          </w:tcPr>
          <w:p w14:paraId="7BF2AA7F"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 xml:space="preserve">Norovirus/Diarrhoea </w:t>
            </w:r>
          </w:p>
        </w:tc>
        <w:tc>
          <w:tcPr>
            <w:tcW w:w="1417" w:type="dxa"/>
          </w:tcPr>
          <w:p w14:paraId="2783BF67" w14:textId="77777777" w:rsidR="00E87D50" w:rsidRPr="00B40537" w:rsidRDefault="002D5A1F" w:rsidP="00AD747A">
            <w:pPr>
              <w:pStyle w:val="NormalWeb"/>
              <w:spacing w:after="0"/>
              <w:jc w:val="both"/>
              <w:rPr>
                <w:rFonts w:asciiTheme="majorHAnsi" w:hAnsiTheme="majorHAnsi" w:cstheme="majorHAnsi"/>
              </w:rPr>
            </w:pPr>
            <w:r w:rsidRPr="00B40537">
              <w:rPr>
                <w:rFonts w:asciiTheme="majorHAnsi" w:hAnsiTheme="majorHAnsi" w:cstheme="majorHAnsi"/>
              </w:rPr>
              <w:t>0</w:t>
            </w:r>
          </w:p>
        </w:tc>
      </w:tr>
      <w:tr w:rsidR="00E87D50" w:rsidRPr="00B40537" w14:paraId="4346FD21" w14:textId="77777777" w:rsidTr="00454016">
        <w:tc>
          <w:tcPr>
            <w:tcW w:w="6658" w:type="dxa"/>
          </w:tcPr>
          <w:p w14:paraId="6E742204"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 xml:space="preserve">Methicillin-resistant Staphylococcus </w:t>
            </w:r>
            <w:r w:rsidR="002D5A1F" w:rsidRPr="00B40537">
              <w:rPr>
                <w:rFonts w:asciiTheme="majorHAnsi" w:hAnsiTheme="majorHAnsi" w:cstheme="majorHAnsi"/>
              </w:rPr>
              <w:t>aureus</w:t>
            </w:r>
            <w:r w:rsidRPr="00B40537">
              <w:rPr>
                <w:rFonts w:asciiTheme="majorHAnsi" w:hAnsiTheme="majorHAnsi" w:cstheme="majorHAnsi"/>
              </w:rPr>
              <w:t xml:space="preserve"> </w:t>
            </w:r>
          </w:p>
        </w:tc>
        <w:tc>
          <w:tcPr>
            <w:tcW w:w="1417" w:type="dxa"/>
          </w:tcPr>
          <w:p w14:paraId="7849D395"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0</w:t>
            </w:r>
          </w:p>
        </w:tc>
      </w:tr>
      <w:tr w:rsidR="00E87D50" w:rsidRPr="00B40537" w14:paraId="7B677B04" w14:textId="77777777" w:rsidTr="00454016">
        <w:tc>
          <w:tcPr>
            <w:tcW w:w="6658" w:type="dxa"/>
          </w:tcPr>
          <w:p w14:paraId="1569BA86"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 xml:space="preserve">Vancomycin-Resistant Enterococci/Carbapenemase producing Enterobacterales </w:t>
            </w:r>
          </w:p>
        </w:tc>
        <w:tc>
          <w:tcPr>
            <w:tcW w:w="1417" w:type="dxa"/>
          </w:tcPr>
          <w:p w14:paraId="142570DD" w14:textId="77777777" w:rsidR="00E87D50" w:rsidRPr="00B40537" w:rsidRDefault="00B603D6" w:rsidP="00AD747A">
            <w:pPr>
              <w:pStyle w:val="NormalWeb"/>
              <w:spacing w:after="0"/>
              <w:jc w:val="both"/>
              <w:rPr>
                <w:rFonts w:asciiTheme="majorHAnsi" w:hAnsiTheme="majorHAnsi" w:cstheme="majorHAnsi"/>
              </w:rPr>
            </w:pPr>
            <w:r w:rsidRPr="00B40537">
              <w:rPr>
                <w:rFonts w:asciiTheme="majorHAnsi" w:hAnsiTheme="majorHAnsi" w:cstheme="majorHAnsi"/>
              </w:rPr>
              <w:t>0</w:t>
            </w:r>
          </w:p>
        </w:tc>
      </w:tr>
    </w:tbl>
    <w:p w14:paraId="4BE73327" w14:textId="77777777" w:rsidR="00E87D50" w:rsidRPr="00B40537" w:rsidRDefault="00E87D50" w:rsidP="00AD747A">
      <w:pPr>
        <w:pStyle w:val="NormalWeb"/>
        <w:spacing w:beforeAutospacing="0" w:after="0" w:afterAutospacing="0"/>
        <w:jc w:val="both"/>
        <w:rPr>
          <w:rFonts w:asciiTheme="majorHAnsi" w:hAnsiTheme="majorHAnsi" w:cstheme="majorHAnsi"/>
          <w:b/>
          <w:bCs/>
          <w:color w:val="5F497A" w:themeColor="accent4" w:themeShade="BF"/>
        </w:rPr>
      </w:pPr>
    </w:p>
    <w:p w14:paraId="7FA22BD1" w14:textId="77777777" w:rsidR="00E87D50" w:rsidRPr="00B40537" w:rsidRDefault="00B603D6" w:rsidP="00454016">
      <w:pPr>
        <w:pStyle w:val="Level1"/>
        <w:outlineLvl w:val="1"/>
      </w:pPr>
      <w:bookmarkStart w:id="19" w:name="_Toc216792789"/>
      <w:r w:rsidRPr="00B40537">
        <w:t>Incidents</w:t>
      </w:r>
      <w:bookmarkEnd w:id="19"/>
    </w:p>
    <w:p w14:paraId="0B77EA2A" w14:textId="77777777" w:rsidR="00E87D50" w:rsidRPr="00B40537" w:rsidRDefault="00B603D6" w:rsidP="00AD747A">
      <w:pPr>
        <w:pStyle w:val="NormalWeb"/>
        <w:spacing w:beforeAutospacing="0" w:after="0" w:afterAutospacing="0"/>
        <w:jc w:val="both"/>
        <w:rPr>
          <w:rFonts w:asciiTheme="majorHAnsi" w:hAnsiTheme="majorHAnsi" w:cstheme="majorHAnsi"/>
        </w:rPr>
      </w:pPr>
      <w:r w:rsidRPr="00B40537">
        <w:rPr>
          <w:rFonts w:asciiTheme="majorHAnsi" w:hAnsiTheme="majorHAnsi" w:cstheme="majorHAnsi"/>
        </w:rPr>
        <w:t>This year, Bury Hospice has adopted the Patient Safety Incident Response Framework (PSIRF) to enhance learning and improve patient safety processes. Aligned with NHS standards, this approach supports ongoing safety improvements.</w:t>
      </w:r>
    </w:p>
    <w:p w14:paraId="125EFCD7" w14:textId="77777777" w:rsidR="00E87D50" w:rsidRPr="00B40537" w:rsidRDefault="00E87D50" w:rsidP="00AD747A">
      <w:pPr>
        <w:spacing w:after="0" w:line="240" w:lineRule="auto"/>
        <w:jc w:val="both"/>
        <w:rPr>
          <w:rFonts w:asciiTheme="majorHAnsi" w:hAnsiTheme="majorHAnsi" w:cstheme="majorHAnsi"/>
          <w:sz w:val="24"/>
        </w:rPr>
      </w:pPr>
    </w:p>
    <w:p w14:paraId="611684B1" w14:textId="77777777" w:rsidR="00E87D50" w:rsidRPr="00B40537" w:rsidRDefault="00E87D50" w:rsidP="00AD747A">
      <w:pPr>
        <w:jc w:val="both"/>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37ED6A2B" w14:textId="77777777" w:rsidR="00E87D50" w:rsidRPr="00B40537" w:rsidRDefault="00B603D6" w:rsidP="00AD747A">
      <w:pPr>
        <w:spacing w:after="0" w:line="240" w:lineRule="auto"/>
        <w:jc w:val="both"/>
        <w:rPr>
          <w:rFonts w:asciiTheme="majorHAnsi" w:hAnsiTheme="majorHAnsi" w:cstheme="majorHAnsi"/>
          <w:sz w:val="24"/>
        </w:rPr>
      </w:pPr>
      <w:r w:rsidRPr="00B40537">
        <w:rPr>
          <w:rFonts w:asciiTheme="majorHAnsi" w:hAnsiTheme="majorHAnsi" w:cstheme="majorHAnsi"/>
          <w:sz w:val="24"/>
        </w:rPr>
        <w:t>Reporting and responding to incidents, accidents, and near misses is vital for patient safety and learning. Bury Hospice follows a system-focused approach aligned with the NHS Patient Safety Strategy (2021), ensuring compliance, timely action, and continuous improvement.</w:t>
      </w:r>
    </w:p>
    <w:p w14:paraId="2A0ED4BB" w14:textId="77777777" w:rsidR="00E87D50" w:rsidRPr="00B40537" w:rsidRDefault="00E87D50" w:rsidP="00AD747A">
      <w:pPr>
        <w:spacing w:after="0"/>
        <w:jc w:val="both"/>
        <w:rPr>
          <w:rFonts w:asciiTheme="majorHAnsi" w:hAnsiTheme="majorHAnsi" w:cstheme="majorHAnsi"/>
          <w:sz w:val="24"/>
        </w:rPr>
      </w:pPr>
    </w:p>
    <w:p w14:paraId="1603CCFF" w14:textId="77777777" w:rsidR="00E87D50"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sz w:val="24"/>
        </w:rPr>
        <w:t>The Clinical Standards Group and the Clinical Governance Committee have met quarterly to review incidents, extract insights, and create action plans. Their proactive efforts drive continuous improvements in patient care.</w:t>
      </w:r>
    </w:p>
    <w:p w14:paraId="2ADC1BEB" w14:textId="77777777" w:rsidR="00E87D50" w:rsidRPr="00B40537" w:rsidRDefault="00E87D50" w:rsidP="00AD747A">
      <w:pPr>
        <w:spacing w:after="0"/>
        <w:jc w:val="both"/>
        <w:rPr>
          <w:rFonts w:asciiTheme="majorHAnsi" w:hAnsiTheme="majorHAnsi" w:cstheme="majorHAnsi"/>
          <w:sz w:val="24"/>
        </w:rPr>
      </w:pPr>
    </w:p>
    <w:p w14:paraId="67C620D3" w14:textId="0E2AB071" w:rsidR="00E87D50" w:rsidRDefault="00B603D6" w:rsidP="00AD747A">
      <w:pPr>
        <w:spacing w:after="0"/>
        <w:jc w:val="both"/>
        <w:rPr>
          <w:rFonts w:asciiTheme="majorHAnsi" w:hAnsiTheme="majorHAnsi" w:cstheme="majorHAnsi"/>
          <w:sz w:val="24"/>
        </w:rPr>
      </w:pPr>
      <w:r w:rsidRPr="00B40537">
        <w:rPr>
          <w:rFonts w:asciiTheme="majorHAnsi" w:hAnsiTheme="majorHAnsi" w:cstheme="majorHAnsi"/>
          <w:sz w:val="24"/>
        </w:rPr>
        <w:t>During the reporting period from 1st April 2024 to 31st March 2025, a total of 440 internal incidents were reported. Of these, 331 (75%) were classified as clinical incidents, while 109 (25%) were non-clinical incidents.</w:t>
      </w:r>
    </w:p>
    <w:p w14:paraId="16BF8AE3" w14:textId="77777777" w:rsidR="00454016" w:rsidRPr="00B40537" w:rsidRDefault="00454016" w:rsidP="00AD747A">
      <w:pPr>
        <w:spacing w:after="0"/>
        <w:jc w:val="both"/>
        <w:rPr>
          <w:rFonts w:asciiTheme="majorHAnsi" w:hAnsiTheme="majorHAnsi" w:cstheme="majorHAnsi"/>
          <w:sz w:val="24"/>
        </w:rPr>
      </w:pPr>
    </w:p>
    <w:p w14:paraId="36E62D2C" w14:textId="77777777" w:rsidR="00E87D50"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sz w:val="24"/>
        </w:rPr>
        <w:t>Importantly, no Serious Untoward Incidents (SUIs) were recorded during this period, indicating effective risk management and prompt incident response processes across the organisation.</w:t>
      </w:r>
    </w:p>
    <w:p w14:paraId="375FC7C1" w14:textId="77777777" w:rsidR="00AC29EF"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noProof/>
          <w:lang w:val="en-GB" w:eastAsia="en-GB"/>
        </w:rPr>
        <w:lastRenderedPageBreak/>
        <w:drawing>
          <wp:anchor distT="0" distB="0" distL="114300" distR="114300" simplePos="0" relativeHeight="251668480" behindDoc="0" locked="0" layoutInCell="1" allowOverlap="1" wp14:anchorId="1D0D9E61" wp14:editId="6265A72B">
            <wp:simplePos x="0" y="0"/>
            <wp:positionH relativeFrom="margin">
              <wp:align>center</wp:align>
            </wp:positionH>
            <wp:positionV relativeFrom="margin">
              <wp:align>top</wp:align>
            </wp:positionV>
            <wp:extent cx="4531995" cy="2487930"/>
            <wp:effectExtent l="0" t="0" r="1905" b="7620"/>
            <wp:wrapSquare wrapText="bothSides"/>
            <wp:docPr id="27" name="Object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707EF7A0" w14:textId="77777777" w:rsidR="00AC29EF" w:rsidRPr="00B40537" w:rsidRDefault="00AC29EF" w:rsidP="00AD747A">
      <w:pPr>
        <w:jc w:val="both"/>
        <w:rPr>
          <w:rFonts w:asciiTheme="majorHAnsi" w:hAnsiTheme="majorHAnsi" w:cstheme="majorHAnsi"/>
          <w:sz w:val="24"/>
        </w:rPr>
      </w:pPr>
    </w:p>
    <w:p w14:paraId="51EE9E06" w14:textId="77777777" w:rsidR="00AC29EF" w:rsidRPr="00B40537" w:rsidRDefault="00AC29EF" w:rsidP="00AD747A">
      <w:pPr>
        <w:spacing w:after="0"/>
        <w:jc w:val="both"/>
        <w:rPr>
          <w:rFonts w:asciiTheme="majorHAnsi" w:hAnsiTheme="majorHAnsi" w:cstheme="majorHAnsi"/>
          <w:sz w:val="24"/>
        </w:rPr>
      </w:pPr>
    </w:p>
    <w:p w14:paraId="4A313168" w14:textId="77777777" w:rsidR="00E87D50" w:rsidRPr="00B40537" w:rsidRDefault="00AC29EF" w:rsidP="00AD747A">
      <w:pPr>
        <w:tabs>
          <w:tab w:val="center" w:pos="765"/>
        </w:tabs>
        <w:spacing w:after="0"/>
        <w:jc w:val="both"/>
        <w:rPr>
          <w:rFonts w:asciiTheme="majorHAnsi" w:hAnsiTheme="majorHAnsi" w:cstheme="majorHAnsi"/>
          <w:sz w:val="24"/>
        </w:rPr>
      </w:pPr>
      <w:r w:rsidRPr="00B40537">
        <w:rPr>
          <w:rFonts w:asciiTheme="majorHAnsi" w:hAnsiTheme="majorHAnsi" w:cstheme="majorHAnsi"/>
          <w:sz w:val="24"/>
        </w:rPr>
        <w:tab/>
      </w:r>
      <w:r w:rsidRPr="00B40537">
        <w:rPr>
          <w:rFonts w:asciiTheme="majorHAnsi" w:hAnsiTheme="majorHAnsi" w:cstheme="majorHAnsi"/>
          <w:sz w:val="24"/>
        </w:rPr>
        <w:br w:type="textWrapping" w:clear="all"/>
      </w:r>
    </w:p>
    <w:p w14:paraId="5C414BD4" w14:textId="77777777" w:rsidR="00E87D50" w:rsidRPr="00B40537" w:rsidRDefault="00E87D50" w:rsidP="00AD747A">
      <w:pPr>
        <w:spacing w:after="0"/>
        <w:jc w:val="both"/>
        <w:rPr>
          <w:rFonts w:asciiTheme="majorHAnsi" w:hAnsiTheme="majorHAnsi" w:cstheme="majorHAnsi"/>
          <w:sz w:val="24"/>
        </w:rPr>
      </w:pPr>
    </w:p>
    <w:p w14:paraId="5006F72E" w14:textId="77777777" w:rsidR="00E87D50"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sz w:val="24"/>
        </w:rPr>
        <w:t>Clinical leadership fosters a culture where staff can safely report errors, prevent recurrence and enhance care. The Senior Leadership Team oversees all incidents, with findings reviewed by the Clinical Standards Committee and shared with the Clinical Governance Committee and Board of Trustees for transparency and robust governance.</w:t>
      </w:r>
    </w:p>
    <w:p w14:paraId="36458085" w14:textId="77777777" w:rsidR="00E87D50" w:rsidRPr="00B40537" w:rsidRDefault="00E87D50" w:rsidP="00AD747A">
      <w:pPr>
        <w:spacing w:after="0"/>
        <w:jc w:val="both"/>
        <w:rPr>
          <w:rFonts w:asciiTheme="majorHAnsi" w:hAnsiTheme="majorHAnsi" w:cstheme="majorHAnsi"/>
          <w:sz w:val="24"/>
        </w:rPr>
      </w:pPr>
    </w:p>
    <w:p w14:paraId="3DE58D6A" w14:textId="746899F3" w:rsidR="00E87D50"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sz w:val="24"/>
        </w:rPr>
        <w:t>This approach demonstrates to the Care Quality Commission that Bury Hospice is safe, effective, caring, responsive, and well-led.</w:t>
      </w:r>
    </w:p>
    <w:p w14:paraId="2A6EE637" w14:textId="77777777" w:rsidR="00E87D50" w:rsidRPr="00B40537" w:rsidRDefault="00B603D6" w:rsidP="00454016">
      <w:pPr>
        <w:pStyle w:val="Level1"/>
        <w:outlineLvl w:val="1"/>
      </w:pPr>
      <w:bookmarkStart w:id="20" w:name="_Toc216792790"/>
      <w:r w:rsidRPr="00B40537">
        <w:t>Safeguarding</w:t>
      </w:r>
      <w:bookmarkEnd w:id="20"/>
      <w:r w:rsidRPr="00B40537">
        <w:t xml:space="preserve"> </w:t>
      </w:r>
    </w:p>
    <w:p w14:paraId="7B828320" w14:textId="77777777" w:rsidR="00E87D50" w:rsidRPr="00B40537" w:rsidRDefault="00B603D6" w:rsidP="00AD747A">
      <w:pPr>
        <w:jc w:val="both"/>
        <w:rPr>
          <w:rFonts w:asciiTheme="majorHAnsi" w:hAnsiTheme="majorHAnsi" w:cstheme="majorHAnsi"/>
          <w:b/>
          <w:bCs/>
          <w:color w:val="5F497A" w:themeColor="accent4" w:themeShade="BF"/>
          <w:sz w:val="24"/>
          <w:szCs w:val="24"/>
        </w:rPr>
      </w:pPr>
      <w:r w:rsidRPr="00B40537">
        <w:rPr>
          <w:rFonts w:asciiTheme="majorHAnsi" w:hAnsiTheme="majorHAnsi" w:cstheme="majorHAnsi"/>
          <w:sz w:val="24"/>
          <w:szCs w:val="24"/>
        </w:rPr>
        <w:t>Safeguarding is one of the categories of incidents and is central to the Hospice’s culture, ensuring children and adults at risk are protected from abuse, neglect, and harm. In early 2025, our new Director of Clinical Services, Jenny Gallagher, became Safeguarding Lead, supporting staff and volunteers in recognising safeguarding as a shared, top priority. We uphold the highest standards by monitoring developments, raising concerns promptly with the Bury Integrated Care Partnership Safeguarding Team, and acting in line with the Care Act 2014.</w:t>
      </w:r>
    </w:p>
    <w:tbl>
      <w:tblPr>
        <w:tblStyle w:val="TableGrid0"/>
        <w:tblW w:w="8339" w:type="dxa"/>
        <w:tblInd w:w="20" w:type="dxa"/>
        <w:tblLayout w:type="fixed"/>
        <w:tblCellMar>
          <w:top w:w="43" w:type="dxa"/>
          <w:left w:w="107" w:type="dxa"/>
          <w:right w:w="75" w:type="dxa"/>
        </w:tblCellMar>
        <w:tblLook w:val="04A0" w:firstRow="1" w:lastRow="0" w:firstColumn="1" w:lastColumn="0" w:noHBand="0" w:noVBand="1"/>
      </w:tblPr>
      <w:tblGrid>
        <w:gridCol w:w="3093"/>
        <w:gridCol w:w="2127"/>
        <w:gridCol w:w="3119"/>
      </w:tblGrid>
      <w:tr w:rsidR="00E87D50" w:rsidRPr="00B40537" w14:paraId="4B561330" w14:textId="77777777">
        <w:trPr>
          <w:trHeight w:val="288"/>
        </w:trPr>
        <w:tc>
          <w:tcPr>
            <w:tcW w:w="3093" w:type="dxa"/>
            <w:tcBorders>
              <w:top w:val="single" w:sz="4" w:space="0" w:color="000000"/>
              <w:left w:val="single" w:sz="4" w:space="0" w:color="000000"/>
              <w:bottom w:val="single" w:sz="4" w:space="0" w:color="000000"/>
              <w:right w:val="single" w:sz="4" w:space="0" w:color="000000"/>
            </w:tcBorders>
          </w:tcPr>
          <w:p w14:paraId="58ED56D6" w14:textId="77777777" w:rsidR="00E87D50" w:rsidRPr="00B40537" w:rsidRDefault="00B603D6" w:rsidP="00AD747A">
            <w:pPr>
              <w:spacing w:after="0" w:line="259" w:lineRule="auto"/>
              <w:ind w:right="31"/>
              <w:jc w:val="both"/>
              <w:rPr>
                <w:rFonts w:asciiTheme="majorHAnsi" w:hAnsiTheme="majorHAnsi" w:cstheme="majorHAnsi"/>
                <w:sz w:val="20"/>
                <w:szCs w:val="20"/>
              </w:rPr>
            </w:pPr>
            <w:r w:rsidRPr="00B40537">
              <w:rPr>
                <w:rFonts w:asciiTheme="majorHAnsi" w:eastAsia="MS Mincho" w:hAnsiTheme="majorHAnsi" w:cstheme="majorHAnsi"/>
                <w:kern w:val="2"/>
                <w:sz w:val="20"/>
                <w:szCs w:val="20"/>
              </w:rPr>
              <w:t>Deprivation of Liberty Protection Safeguards (DOLs)= 1</w:t>
            </w:r>
          </w:p>
        </w:tc>
        <w:tc>
          <w:tcPr>
            <w:tcW w:w="2127" w:type="dxa"/>
            <w:tcBorders>
              <w:top w:val="single" w:sz="4" w:space="0" w:color="000000"/>
              <w:left w:val="single" w:sz="4" w:space="0" w:color="000000"/>
              <w:bottom w:val="single" w:sz="4" w:space="0" w:color="000000"/>
              <w:right w:val="single" w:sz="4" w:space="0" w:color="000000"/>
            </w:tcBorders>
          </w:tcPr>
          <w:p w14:paraId="24294575" w14:textId="77777777" w:rsidR="00E87D50" w:rsidRPr="00B40537" w:rsidRDefault="00B603D6" w:rsidP="00AD747A">
            <w:pPr>
              <w:spacing w:after="0" w:line="259" w:lineRule="auto"/>
              <w:ind w:right="31"/>
              <w:jc w:val="both"/>
              <w:rPr>
                <w:rFonts w:asciiTheme="majorHAnsi" w:hAnsiTheme="majorHAnsi" w:cstheme="majorHAnsi"/>
                <w:sz w:val="20"/>
                <w:szCs w:val="20"/>
              </w:rPr>
            </w:pPr>
            <w:r w:rsidRPr="00B40537">
              <w:rPr>
                <w:rFonts w:asciiTheme="majorHAnsi" w:eastAsia="MS Mincho" w:hAnsiTheme="majorHAnsi" w:cstheme="majorHAnsi"/>
                <w:kern w:val="2"/>
                <w:sz w:val="20"/>
                <w:szCs w:val="20"/>
              </w:rPr>
              <w:t>Safeguarding referrals = 4 (2 required no formal escalation &amp; 2 had multiagency response.</w:t>
            </w:r>
          </w:p>
        </w:tc>
        <w:tc>
          <w:tcPr>
            <w:tcW w:w="3119" w:type="dxa"/>
            <w:tcBorders>
              <w:top w:val="single" w:sz="4" w:space="0" w:color="000000"/>
              <w:left w:val="single" w:sz="4" w:space="0" w:color="000000"/>
              <w:bottom w:val="single" w:sz="4" w:space="0" w:color="000000"/>
              <w:right w:val="single" w:sz="4" w:space="0" w:color="000000"/>
            </w:tcBorders>
          </w:tcPr>
          <w:p w14:paraId="5E5A5AB1" w14:textId="77777777" w:rsidR="00E87D50" w:rsidRPr="00B40537" w:rsidRDefault="00B603D6" w:rsidP="00AD747A">
            <w:pPr>
              <w:spacing w:after="0" w:line="259" w:lineRule="auto"/>
              <w:ind w:right="31"/>
              <w:jc w:val="both"/>
              <w:rPr>
                <w:rFonts w:asciiTheme="majorHAnsi" w:hAnsiTheme="majorHAnsi" w:cstheme="majorHAnsi"/>
                <w:sz w:val="20"/>
                <w:szCs w:val="20"/>
              </w:rPr>
            </w:pPr>
            <w:r w:rsidRPr="00B40537">
              <w:rPr>
                <w:rFonts w:asciiTheme="majorHAnsi" w:eastAsia="MS Mincho" w:hAnsiTheme="majorHAnsi" w:cstheme="majorHAnsi"/>
                <w:kern w:val="2"/>
                <w:sz w:val="20"/>
                <w:szCs w:val="20"/>
              </w:rPr>
              <w:t>Learning from Lives and Deaths of people with a learning disability and autistic people (LeDeR) notifications = 0</w:t>
            </w:r>
          </w:p>
        </w:tc>
      </w:tr>
    </w:tbl>
    <w:p w14:paraId="402AFEF1" w14:textId="77777777" w:rsidR="00E87D50" w:rsidRPr="00B40537" w:rsidRDefault="00E87D50" w:rsidP="00AD747A">
      <w:pPr>
        <w:spacing w:after="0"/>
        <w:jc w:val="both"/>
        <w:rPr>
          <w:rFonts w:asciiTheme="majorHAnsi" w:hAnsiTheme="majorHAnsi" w:cstheme="majorHAnsi"/>
          <w:sz w:val="24"/>
          <w:szCs w:val="24"/>
        </w:rPr>
      </w:pPr>
    </w:p>
    <w:p w14:paraId="4C83299C" w14:textId="77777777" w:rsidR="00E87D50" w:rsidRPr="00B40537" w:rsidRDefault="00B603D6" w:rsidP="00AD747A">
      <w:pPr>
        <w:spacing w:after="0"/>
        <w:jc w:val="both"/>
        <w:rPr>
          <w:rFonts w:asciiTheme="majorHAnsi" w:hAnsiTheme="majorHAnsi" w:cstheme="majorHAnsi"/>
          <w:sz w:val="24"/>
        </w:rPr>
      </w:pPr>
      <w:r w:rsidRPr="00B40537">
        <w:rPr>
          <w:rFonts w:asciiTheme="majorHAnsi" w:hAnsiTheme="majorHAnsi" w:cstheme="majorHAnsi"/>
          <w:sz w:val="24"/>
          <w:szCs w:val="24"/>
        </w:rPr>
        <w:t>During 2024/25, there were no allegations made against staff at Bury Hospice.</w:t>
      </w:r>
    </w:p>
    <w:p w14:paraId="49381DB8" w14:textId="419936D2" w:rsidR="00C1666F" w:rsidRDefault="00C1666F" w:rsidP="00AD747A">
      <w:pPr>
        <w:pStyle w:val="ListBullet"/>
        <w:numPr>
          <w:ilvl w:val="0"/>
          <w:numId w:val="0"/>
        </w:numPr>
        <w:jc w:val="both"/>
        <w:rPr>
          <w:rFonts w:asciiTheme="majorHAnsi" w:hAnsiTheme="majorHAnsi" w:cstheme="majorHAnsi"/>
          <w:b/>
          <w:bCs/>
          <w:color w:val="5F497A" w:themeColor="accent4" w:themeShade="BF"/>
          <w:sz w:val="28"/>
          <w:szCs w:val="28"/>
          <w:u w:val="single"/>
        </w:rPr>
      </w:pPr>
    </w:p>
    <w:p w14:paraId="2DD8F47A" w14:textId="4AECEF41" w:rsidR="00454016" w:rsidRDefault="00454016" w:rsidP="00AD747A">
      <w:pPr>
        <w:pStyle w:val="ListBullet"/>
        <w:numPr>
          <w:ilvl w:val="0"/>
          <w:numId w:val="0"/>
        </w:numPr>
        <w:jc w:val="both"/>
        <w:rPr>
          <w:rFonts w:asciiTheme="majorHAnsi" w:hAnsiTheme="majorHAnsi" w:cstheme="majorHAnsi"/>
          <w:b/>
          <w:bCs/>
          <w:color w:val="5F497A" w:themeColor="accent4" w:themeShade="BF"/>
          <w:sz w:val="28"/>
          <w:szCs w:val="28"/>
          <w:u w:val="single"/>
        </w:rPr>
      </w:pPr>
    </w:p>
    <w:p w14:paraId="7EA37876" w14:textId="77777777" w:rsidR="00454016" w:rsidRPr="00B40537" w:rsidRDefault="00454016" w:rsidP="00AD747A">
      <w:pPr>
        <w:pStyle w:val="ListBullet"/>
        <w:numPr>
          <w:ilvl w:val="0"/>
          <w:numId w:val="0"/>
        </w:numPr>
        <w:jc w:val="both"/>
        <w:rPr>
          <w:rFonts w:asciiTheme="majorHAnsi" w:hAnsiTheme="majorHAnsi" w:cstheme="majorHAnsi"/>
          <w:b/>
          <w:bCs/>
          <w:color w:val="5F497A" w:themeColor="accent4" w:themeShade="BF"/>
          <w:sz w:val="28"/>
          <w:szCs w:val="28"/>
          <w:u w:val="single"/>
        </w:rPr>
      </w:pPr>
    </w:p>
    <w:p w14:paraId="4DCE8FEC" w14:textId="707429B0" w:rsidR="000755A5" w:rsidRPr="00454016" w:rsidRDefault="00B603D6" w:rsidP="00454016">
      <w:pPr>
        <w:pStyle w:val="MainLevel"/>
        <w:spacing w:line="360" w:lineRule="auto"/>
      </w:pPr>
      <w:bookmarkStart w:id="21" w:name="_Toc216792791"/>
      <w:r w:rsidRPr="00B40537">
        <w:lastRenderedPageBreak/>
        <w:t>National Quality Indicators</w:t>
      </w:r>
      <w:bookmarkEnd w:id="21"/>
    </w:p>
    <w:p w14:paraId="6E131E3B" w14:textId="088BD21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NHS Trusts are required to report performance against core indicators using nationally held data. Hospices do not submit this data, but despite this, we have measured our performance against the indicators that apply to the healthcare we provide, utilizing the Hospice UK benchmarking scheme. Hospice UK benchmarking has changed in 2024/5 in that it now compares performance data at a category level for pressure ulcers, medication incidents only resulting in severe harm or death and falls resulting in severe harm, death. This increases the value of benchmarking some metrics (Pressure Ulcers) and reduces it in others (Medication incidents).</w:t>
      </w:r>
    </w:p>
    <w:p w14:paraId="6E7BBEE8" w14:textId="77777777" w:rsidR="00E87D50" w:rsidRPr="00B40537" w:rsidRDefault="00B603D6" w:rsidP="00454016">
      <w:pPr>
        <w:pStyle w:val="Level1"/>
        <w:outlineLvl w:val="1"/>
      </w:pPr>
      <w:bookmarkStart w:id="22" w:name="_Toc216792792"/>
      <w:r w:rsidRPr="00B40537">
        <w:t>Inpatient falls:</w:t>
      </w:r>
      <w:bookmarkEnd w:id="22"/>
    </w:p>
    <w:p w14:paraId="1C57C5B1" w14:textId="77777777" w:rsidR="00E87D50" w:rsidRPr="00B40537" w:rsidRDefault="00B603D6" w:rsidP="00AD747A">
      <w:pPr>
        <w:pStyle w:val="ListBullet"/>
        <w:numPr>
          <w:ilvl w:val="0"/>
          <w:numId w:val="0"/>
        </w:numPr>
        <w:jc w:val="both"/>
        <w:rPr>
          <w:rFonts w:asciiTheme="majorHAnsi" w:hAnsiTheme="majorHAnsi" w:cstheme="majorHAnsi"/>
          <w:sz w:val="24"/>
          <w:szCs w:val="24"/>
          <w:highlight w:val="yellow"/>
        </w:rPr>
      </w:pPr>
      <w:r w:rsidRPr="00B40537">
        <w:rPr>
          <w:rFonts w:asciiTheme="majorHAnsi" w:hAnsiTheme="majorHAnsi" w:cstheme="majorHAnsi"/>
          <w:sz w:val="24"/>
          <w:szCs w:val="24"/>
        </w:rPr>
        <w:t xml:space="preserve">No falls at Bury Hospice resulted in severe harm or death. There were 31 falls on the in-patient ward affecting 22 patients. 9 falls resulted in no harm and 21 in low harm and one moderate harm. </w:t>
      </w:r>
    </w:p>
    <w:p w14:paraId="6E47D111" w14:textId="3F2A38FC" w:rsidR="00E87D50" w:rsidRPr="00B40537" w:rsidRDefault="0045401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84864" behindDoc="0" locked="0" layoutInCell="1" allowOverlap="1" wp14:anchorId="1D2E8874" wp14:editId="0CF4D594">
            <wp:simplePos x="0" y="0"/>
            <wp:positionH relativeFrom="margin">
              <wp:posOffset>933450</wp:posOffset>
            </wp:positionH>
            <wp:positionV relativeFrom="paragraph">
              <wp:posOffset>421286</wp:posOffset>
            </wp:positionV>
            <wp:extent cx="4531995" cy="2159635"/>
            <wp:effectExtent l="0" t="0" r="1905" b="12065"/>
            <wp:wrapTopAndBottom/>
            <wp:docPr id="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anchor>
        </w:drawing>
      </w:r>
    </w:p>
    <w:p w14:paraId="542C7B1A" w14:textId="42151DEF" w:rsidR="00E87D50" w:rsidRPr="00B40537" w:rsidRDefault="00B603D6" w:rsidP="00AD747A">
      <w:pPr>
        <w:pStyle w:val="ListBullet"/>
        <w:numPr>
          <w:ilvl w:val="0"/>
          <w:numId w:val="0"/>
        </w:numPr>
        <w:jc w:val="both"/>
        <w:rPr>
          <w:rFonts w:asciiTheme="majorHAnsi" w:hAnsiTheme="majorHAnsi" w:cstheme="majorHAnsi"/>
        </w:rPr>
      </w:pPr>
      <w:r w:rsidRPr="00B40537">
        <w:rPr>
          <w:rFonts w:asciiTheme="majorHAnsi" w:hAnsiTheme="majorHAnsi" w:cstheme="majorHAnsi"/>
        </w:rPr>
        <w:t xml:space="preserve">             </w:t>
      </w:r>
    </w:p>
    <w:p w14:paraId="497B6D16" w14:textId="77777777" w:rsidR="00E87D50" w:rsidRPr="00B40537" w:rsidRDefault="00E87D50" w:rsidP="00AD747A">
      <w:pPr>
        <w:pStyle w:val="ListBullet"/>
        <w:numPr>
          <w:ilvl w:val="0"/>
          <w:numId w:val="0"/>
        </w:numPr>
        <w:jc w:val="both"/>
        <w:rPr>
          <w:rFonts w:asciiTheme="majorHAnsi" w:hAnsiTheme="majorHAnsi" w:cstheme="majorHAnsi"/>
        </w:rPr>
      </w:pPr>
    </w:p>
    <w:p w14:paraId="3939FC92" w14:textId="77777777" w:rsidR="00454016" w:rsidRDefault="00454016" w:rsidP="00454016">
      <w:pPr>
        <w:pStyle w:val="ListBullet"/>
        <w:numPr>
          <w:ilvl w:val="0"/>
          <w:numId w:val="0"/>
        </w:numPr>
        <w:spacing w:line="360" w:lineRule="auto"/>
        <w:jc w:val="both"/>
        <w:rPr>
          <w:rFonts w:asciiTheme="majorHAnsi" w:hAnsiTheme="majorHAnsi" w:cstheme="majorHAnsi"/>
          <w:sz w:val="24"/>
          <w:szCs w:val="24"/>
        </w:rPr>
      </w:pPr>
    </w:p>
    <w:p w14:paraId="1F14BA43" w14:textId="3934CA19" w:rsidR="00E87D50" w:rsidRPr="00B40537" w:rsidRDefault="00B603D6" w:rsidP="00454016">
      <w:pPr>
        <w:pStyle w:val="ListBullet"/>
        <w:numPr>
          <w:ilvl w:val="0"/>
          <w:numId w:val="0"/>
        </w:numPr>
        <w:spacing w:line="480" w:lineRule="auto"/>
        <w:jc w:val="both"/>
        <w:rPr>
          <w:rFonts w:asciiTheme="majorHAnsi" w:hAnsiTheme="majorHAnsi" w:cstheme="majorHAnsi"/>
          <w:sz w:val="24"/>
          <w:szCs w:val="24"/>
        </w:rPr>
      </w:pPr>
      <w:r w:rsidRPr="00B40537">
        <w:rPr>
          <w:rFonts w:asciiTheme="majorHAnsi" w:hAnsiTheme="majorHAnsi" w:cstheme="majorHAnsi"/>
          <w:sz w:val="24"/>
          <w:szCs w:val="24"/>
        </w:rPr>
        <w:t xml:space="preserve">To manage and reduce risks we: </w:t>
      </w:r>
    </w:p>
    <w:p w14:paraId="793A6AF0" w14:textId="25BD592F" w:rsidR="00E87D50" w:rsidRDefault="00B603D6" w:rsidP="00AD747A">
      <w:pPr>
        <w:pStyle w:val="ListBullet"/>
        <w:numPr>
          <w:ilvl w:val="0"/>
          <w:numId w:val="21"/>
        </w:numPr>
        <w:jc w:val="both"/>
        <w:rPr>
          <w:rFonts w:asciiTheme="majorHAnsi" w:hAnsiTheme="majorHAnsi" w:cstheme="majorHAnsi"/>
          <w:sz w:val="24"/>
          <w:szCs w:val="24"/>
        </w:rPr>
      </w:pPr>
      <w:r w:rsidRPr="00B40537">
        <w:rPr>
          <w:rFonts w:asciiTheme="majorHAnsi" w:hAnsiTheme="majorHAnsi" w:cstheme="majorHAnsi"/>
          <w:sz w:val="24"/>
          <w:szCs w:val="24"/>
        </w:rPr>
        <w:t xml:space="preserve">Held safety briefings as part of the clinical standards meetings where falls and their management are discussed, with case studies and learning, with good practice shared. </w:t>
      </w:r>
    </w:p>
    <w:p w14:paraId="6C13303F" w14:textId="77777777" w:rsidR="00454016" w:rsidRPr="00B40537" w:rsidRDefault="00454016" w:rsidP="00454016">
      <w:pPr>
        <w:pStyle w:val="ListBullet"/>
        <w:numPr>
          <w:ilvl w:val="0"/>
          <w:numId w:val="0"/>
        </w:numPr>
        <w:ind w:left="720"/>
        <w:jc w:val="both"/>
        <w:rPr>
          <w:rFonts w:asciiTheme="majorHAnsi" w:hAnsiTheme="majorHAnsi" w:cstheme="majorHAnsi"/>
          <w:sz w:val="24"/>
          <w:szCs w:val="24"/>
        </w:rPr>
      </w:pPr>
    </w:p>
    <w:p w14:paraId="1C9DF1A1" w14:textId="6E2C36F2" w:rsidR="005A7EEC" w:rsidRDefault="00B603D6" w:rsidP="00454016">
      <w:pPr>
        <w:pStyle w:val="ListBullet"/>
        <w:numPr>
          <w:ilvl w:val="0"/>
          <w:numId w:val="21"/>
        </w:numPr>
        <w:jc w:val="both"/>
        <w:rPr>
          <w:rFonts w:asciiTheme="majorHAnsi" w:hAnsiTheme="majorHAnsi" w:cstheme="majorHAnsi"/>
          <w:sz w:val="24"/>
          <w:szCs w:val="24"/>
        </w:rPr>
      </w:pPr>
      <w:r w:rsidRPr="00B40537">
        <w:rPr>
          <w:rFonts w:asciiTheme="majorHAnsi" w:hAnsiTheme="majorHAnsi" w:cstheme="majorHAnsi"/>
          <w:sz w:val="24"/>
          <w:szCs w:val="24"/>
        </w:rPr>
        <w:t>Review of seating was completed and new reclining chairs and specialist seating is now in place. This has improved quality of life, comfort, and safety</w:t>
      </w:r>
    </w:p>
    <w:p w14:paraId="724B7292" w14:textId="3158B8A8" w:rsidR="00E87D50" w:rsidRPr="00B40537" w:rsidRDefault="00B603D6" w:rsidP="00454016">
      <w:pPr>
        <w:pStyle w:val="Level1"/>
        <w:outlineLvl w:val="1"/>
      </w:pPr>
      <w:bookmarkStart w:id="23" w:name="_Toc216792793"/>
      <w:r w:rsidRPr="00B40537">
        <w:lastRenderedPageBreak/>
        <w:t>Pressure Ulcers:</w:t>
      </w:r>
      <w:bookmarkEnd w:id="23"/>
    </w:p>
    <w:p w14:paraId="53773703" w14:textId="69EB64A0" w:rsidR="00E87D50" w:rsidRPr="00B40537" w:rsidRDefault="0045401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85888" behindDoc="0" locked="0" layoutInCell="1" allowOverlap="1" wp14:anchorId="10076A32" wp14:editId="3A983681">
            <wp:simplePos x="0" y="0"/>
            <wp:positionH relativeFrom="margin">
              <wp:posOffset>850605</wp:posOffset>
            </wp:positionH>
            <wp:positionV relativeFrom="margin">
              <wp:posOffset>1020726</wp:posOffset>
            </wp:positionV>
            <wp:extent cx="4572000" cy="2992755"/>
            <wp:effectExtent l="0" t="0" r="0" b="17145"/>
            <wp:wrapTopAndBottom/>
            <wp:docPr id="29"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anchor>
        </w:drawing>
      </w:r>
      <w:r w:rsidR="00B603D6" w:rsidRPr="00B40537">
        <w:rPr>
          <w:rFonts w:asciiTheme="majorHAnsi" w:hAnsiTheme="majorHAnsi" w:cstheme="majorHAnsi"/>
          <w:sz w:val="24"/>
          <w:szCs w:val="24"/>
        </w:rPr>
        <w:t>Hospice UK benchmarking since 2024 breaks down the new or acquired at hospice pressure ulcer data by category. The graphs below for the available data this year show new pressure at Bury Hospice by category</w:t>
      </w:r>
    </w:p>
    <w:p w14:paraId="1745143A" w14:textId="7432EEF7" w:rsidR="00454016" w:rsidRDefault="00454016" w:rsidP="00AD747A">
      <w:pPr>
        <w:pStyle w:val="ListBullet"/>
        <w:numPr>
          <w:ilvl w:val="0"/>
          <w:numId w:val="0"/>
        </w:numPr>
        <w:jc w:val="both"/>
        <w:rPr>
          <w:rFonts w:asciiTheme="majorHAnsi" w:hAnsiTheme="majorHAnsi" w:cstheme="majorHAnsi"/>
          <w:sz w:val="24"/>
          <w:szCs w:val="24"/>
        </w:rPr>
      </w:pPr>
    </w:p>
    <w:p w14:paraId="0A2DF6F5" w14:textId="129B467A"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 xml:space="preserve">There were a total of 133 pressure related incidents reported, 47 found on admission and 88 developed during admission. </w:t>
      </w:r>
    </w:p>
    <w:p w14:paraId="2067D8F7" w14:textId="77777777" w:rsidR="00E87D50" w:rsidRPr="00B40537" w:rsidRDefault="00E87D50" w:rsidP="00AD747A">
      <w:pPr>
        <w:pStyle w:val="ListBullet"/>
        <w:numPr>
          <w:ilvl w:val="0"/>
          <w:numId w:val="0"/>
        </w:numPr>
        <w:jc w:val="both"/>
        <w:rPr>
          <w:rFonts w:asciiTheme="majorHAnsi" w:hAnsiTheme="majorHAnsi" w:cstheme="majorHAnsi"/>
          <w:sz w:val="24"/>
          <w:szCs w:val="24"/>
        </w:rPr>
      </w:pPr>
    </w:p>
    <w:p w14:paraId="4AFB4BE7" w14:textId="7777777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Of the 47 pressure-related issues identified on admission, 34 were graded 1–4, while the remaining 13 were classified as suspected deep tissue injuries (5), moisture lesions (5), and ungradable wounds (3).</w:t>
      </w:r>
    </w:p>
    <w:p w14:paraId="259BC465" w14:textId="77777777" w:rsidR="00E87D50" w:rsidRPr="00B40537" w:rsidRDefault="00E87D50" w:rsidP="00AD747A">
      <w:pPr>
        <w:pStyle w:val="ListBullet"/>
        <w:numPr>
          <w:ilvl w:val="0"/>
          <w:numId w:val="0"/>
        </w:numPr>
        <w:jc w:val="both"/>
        <w:rPr>
          <w:rFonts w:asciiTheme="majorHAnsi" w:hAnsiTheme="majorHAnsi" w:cstheme="majorHAnsi"/>
          <w:sz w:val="24"/>
          <w:szCs w:val="24"/>
        </w:rPr>
      </w:pPr>
    </w:p>
    <w:p w14:paraId="63CA2A9C" w14:textId="7777777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During the hospice stay, 37 of the 88 total pressure-related incidents were outside the grade 1–4 category. These were predominantly suspected deep tissue injuries (26), with moisture lesions (6) and ungradable wounds (5) making up the remainder.</w:t>
      </w:r>
    </w:p>
    <w:p w14:paraId="5DD18D4B" w14:textId="77777777" w:rsidR="00E87D50" w:rsidRPr="00B40537" w:rsidRDefault="00E87D50" w:rsidP="00AD747A">
      <w:pPr>
        <w:pStyle w:val="ListBullet"/>
        <w:numPr>
          <w:ilvl w:val="0"/>
          <w:numId w:val="0"/>
        </w:numPr>
        <w:ind w:left="360"/>
        <w:jc w:val="both"/>
        <w:rPr>
          <w:rFonts w:asciiTheme="majorHAnsi" w:hAnsiTheme="majorHAnsi" w:cstheme="majorHAnsi"/>
          <w:sz w:val="24"/>
          <w:szCs w:val="24"/>
        </w:rPr>
      </w:pPr>
    </w:p>
    <w:p w14:paraId="1A95AE3E" w14:textId="17971EAD" w:rsidR="00E87D50" w:rsidRPr="00B40537" w:rsidRDefault="00B603D6" w:rsidP="00454016">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Most skin integrity issues developed during admission, reflecting the clinical complexity of hospice patients, many of whom have rapid deterioration and limited mobility. Pressure damage can result from poor nutrition, impaired perfusion, reduced mobility, and declining physiological function. Despite risk assessments, repositioning, and use of pressure-relieving equipment, disease progression can make some damage unavoidable.</w:t>
      </w:r>
    </w:p>
    <w:p w14:paraId="7B4A2F93" w14:textId="77777777" w:rsidR="005A7EEC" w:rsidRPr="00B40537" w:rsidRDefault="005A7EEC" w:rsidP="00AD747A">
      <w:pPr>
        <w:pStyle w:val="ListBullet"/>
        <w:numPr>
          <w:ilvl w:val="0"/>
          <w:numId w:val="0"/>
        </w:numPr>
        <w:jc w:val="both"/>
        <w:rPr>
          <w:rFonts w:asciiTheme="majorHAnsi" w:hAnsiTheme="majorHAnsi" w:cstheme="majorHAnsi"/>
          <w:sz w:val="24"/>
          <w:szCs w:val="24"/>
        </w:rPr>
      </w:pPr>
    </w:p>
    <w:p w14:paraId="68101D4D" w14:textId="7777777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 xml:space="preserve">Staff follow evidence-based practices, including regular assessments, individualised care plans, multidisciplinary review, and ongoing audits. Care is delivered compassionately, prioritising comfort, </w:t>
      </w:r>
      <w:r w:rsidRPr="00B40537">
        <w:rPr>
          <w:rFonts w:asciiTheme="majorHAnsi" w:hAnsiTheme="majorHAnsi" w:cstheme="majorHAnsi"/>
          <w:sz w:val="24"/>
          <w:szCs w:val="24"/>
        </w:rPr>
        <w:lastRenderedPageBreak/>
        <w:t>dignity, and quality of life. Interventions are discussed sensitively with patients and families, and when skin damage is unavoidable, staff focus on comfort, symptom control, and emotional support, reflecting the hospice’s person-</w:t>
      </w:r>
      <w:r w:rsidR="005A7EEC" w:rsidRPr="00B40537">
        <w:rPr>
          <w:rFonts w:asciiTheme="majorHAnsi" w:hAnsiTheme="majorHAnsi" w:cstheme="majorHAnsi"/>
          <w:sz w:val="24"/>
          <w:szCs w:val="24"/>
        </w:rPr>
        <w:t>centered</w:t>
      </w:r>
      <w:r w:rsidRPr="00B40537">
        <w:rPr>
          <w:rFonts w:asciiTheme="majorHAnsi" w:hAnsiTheme="majorHAnsi" w:cstheme="majorHAnsi"/>
          <w:sz w:val="24"/>
          <w:szCs w:val="24"/>
        </w:rPr>
        <w:t xml:space="preserve"> ethos.</w:t>
      </w:r>
    </w:p>
    <w:p w14:paraId="4D40F966" w14:textId="77777777" w:rsidR="00DA1EBC" w:rsidRPr="00B40537" w:rsidRDefault="00DA1EBC" w:rsidP="00AD747A">
      <w:pPr>
        <w:pStyle w:val="ListBullet"/>
        <w:numPr>
          <w:ilvl w:val="0"/>
          <w:numId w:val="0"/>
        </w:numPr>
        <w:jc w:val="both"/>
        <w:rPr>
          <w:rFonts w:asciiTheme="majorHAnsi" w:hAnsiTheme="majorHAnsi" w:cstheme="majorHAnsi"/>
          <w:sz w:val="24"/>
          <w:szCs w:val="24"/>
        </w:rPr>
      </w:pPr>
    </w:p>
    <w:p w14:paraId="0A0989D2" w14:textId="3DEDACA6"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 xml:space="preserve">To manage and reduce the risk of pressure damage within the inpatient unit we take the following actions: </w:t>
      </w:r>
    </w:p>
    <w:p w14:paraId="2AF8FDBB" w14:textId="77777777" w:rsidR="00E87D50" w:rsidRPr="00B40537" w:rsidRDefault="00DA1EBC" w:rsidP="00EA5EB0">
      <w:pPr>
        <w:pStyle w:val="ListBullet"/>
        <w:numPr>
          <w:ilvl w:val="0"/>
          <w:numId w:val="22"/>
        </w:numPr>
        <w:jc w:val="both"/>
        <w:rPr>
          <w:rFonts w:asciiTheme="majorHAnsi" w:hAnsiTheme="majorHAnsi" w:cstheme="majorHAnsi"/>
          <w:sz w:val="24"/>
          <w:szCs w:val="24"/>
        </w:rPr>
      </w:pPr>
      <w:r w:rsidRPr="00B40537">
        <w:rPr>
          <w:rFonts w:asciiTheme="majorHAnsi" w:hAnsiTheme="majorHAnsi" w:cstheme="majorHAnsi"/>
          <w:sz w:val="24"/>
          <w:szCs w:val="24"/>
        </w:rPr>
        <w:t>All new Category III</w:t>
      </w:r>
      <w:r w:rsidR="00B603D6" w:rsidRPr="00B40537">
        <w:rPr>
          <w:rFonts w:asciiTheme="majorHAnsi" w:hAnsiTheme="majorHAnsi" w:cstheme="majorHAnsi"/>
          <w:sz w:val="24"/>
          <w:szCs w:val="24"/>
        </w:rPr>
        <w:t xml:space="preserve"> and above pressure ulcer incidents are reviewed by the Director of Clinical Services</w:t>
      </w:r>
    </w:p>
    <w:p w14:paraId="2D2AAA81" w14:textId="77777777" w:rsidR="00E87D50" w:rsidRPr="00B40537" w:rsidRDefault="005A7EEC" w:rsidP="00AD747A">
      <w:pPr>
        <w:pStyle w:val="ListBullet"/>
        <w:numPr>
          <w:ilvl w:val="0"/>
          <w:numId w:val="22"/>
        </w:numPr>
        <w:jc w:val="both"/>
        <w:rPr>
          <w:rFonts w:asciiTheme="majorHAnsi" w:hAnsiTheme="majorHAnsi" w:cstheme="majorHAnsi"/>
          <w:sz w:val="24"/>
          <w:szCs w:val="24"/>
        </w:rPr>
      </w:pPr>
      <w:r w:rsidRPr="00B40537">
        <w:rPr>
          <w:rFonts w:asciiTheme="majorHAnsi" w:hAnsiTheme="majorHAnsi" w:cstheme="majorHAnsi"/>
          <w:sz w:val="24"/>
          <w:szCs w:val="24"/>
        </w:rPr>
        <w:t>I</w:t>
      </w:r>
      <w:r w:rsidR="00B603D6" w:rsidRPr="00B40537">
        <w:rPr>
          <w:rFonts w:asciiTheme="majorHAnsi" w:hAnsiTheme="majorHAnsi" w:cstheme="majorHAnsi"/>
          <w:sz w:val="24"/>
          <w:szCs w:val="24"/>
        </w:rPr>
        <w:t>npatient Unit Clinical Lead and Director of Clinical Services review all Vantage incidents which report pressure ulcers</w:t>
      </w:r>
    </w:p>
    <w:p w14:paraId="58DBD9D9" w14:textId="77777777" w:rsidR="00E87D50" w:rsidRPr="00B40537" w:rsidRDefault="00B603D6" w:rsidP="00AD747A">
      <w:pPr>
        <w:pStyle w:val="ListBullet"/>
        <w:numPr>
          <w:ilvl w:val="0"/>
          <w:numId w:val="22"/>
        </w:numPr>
        <w:jc w:val="both"/>
        <w:rPr>
          <w:rFonts w:asciiTheme="majorHAnsi" w:hAnsiTheme="majorHAnsi" w:cstheme="majorHAnsi"/>
          <w:sz w:val="24"/>
          <w:szCs w:val="24"/>
        </w:rPr>
      </w:pPr>
      <w:r w:rsidRPr="00B40537">
        <w:rPr>
          <w:rFonts w:asciiTheme="majorHAnsi" w:hAnsiTheme="majorHAnsi" w:cstheme="majorHAnsi"/>
          <w:sz w:val="24"/>
          <w:szCs w:val="24"/>
        </w:rPr>
        <w:t xml:space="preserve">A programme of education </w:t>
      </w:r>
      <w:r w:rsidR="00DA1EBC" w:rsidRPr="00B40537">
        <w:rPr>
          <w:rFonts w:asciiTheme="majorHAnsi" w:hAnsiTheme="majorHAnsi" w:cstheme="majorHAnsi"/>
          <w:sz w:val="24"/>
          <w:szCs w:val="24"/>
        </w:rPr>
        <w:t>is being</w:t>
      </w:r>
      <w:r w:rsidRPr="00B40537">
        <w:rPr>
          <w:rFonts w:asciiTheme="majorHAnsi" w:hAnsiTheme="majorHAnsi" w:cstheme="majorHAnsi"/>
          <w:sz w:val="24"/>
          <w:szCs w:val="24"/>
        </w:rPr>
        <w:t xml:space="preserve"> delivered over 2025 – 2026, focusing on identifying damage and skin changes, to trained nurses and HCAs</w:t>
      </w:r>
    </w:p>
    <w:p w14:paraId="05414283" w14:textId="77777777" w:rsidR="00E87D50" w:rsidRPr="00B40537" w:rsidRDefault="00E87D50" w:rsidP="00AD747A">
      <w:pPr>
        <w:pStyle w:val="ListBullet"/>
        <w:numPr>
          <w:ilvl w:val="0"/>
          <w:numId w:val="0"/>
        </w:numPr>
        <w:jc w:val="both"/>
        <w:rPr>
          <w:rFonts w:asciiTheme="majorHAnsi" w:hAnsiTheme="majorHAnsi" w:cstheme="majorHAnsi"/>
        </w:rPr>
      </w:pPr>
    </w:p>
    <w:p w14:paraId="33A1458D" w14:textId="77777777" w:rsidR="00E87D50" w:rsidRPr="00B40537" w:rsidRDefault="00B603D6" w:rsidP="00EA5EB0">
      <w:pPr>
        <w:pStyle w:val="Level1"/>
        <w:outlineLvl w:val="1"/>
      </w:pPr>
      <w:bookmarkStart w:id="24" w:name="_Toc216792794"/>
      <w:r w:rsidRPr="00B40537">
        <w:t>Venous Thrombo-embolism:</w:t>
      </w:r>
      <w:bookmarkEnd w:id="24"/>
      <w:r w:rsidRPr="00B40537">
        <w:tab/>
      </w:r>
    </w:p>
    <w:p w14:paraId="4CF60146" w14:textId="77777777" w:rsidR="00E87D50" w:rsidRPr="00B40537" w:rsidRDefault="00B603D6" w:rsidP="00AD747A">
      <w:pPr>
        <w:pStyle w:val="ListBullet"/>
        <w:numPr>
          <w:ilvl w:val="0"/>
          <w:numId w:val="0"/>
        </w:numPr>
        <w:ind w:left="360" w:hanging="360"/>
        <w:jc w:val="both"/>
        <w:rPr>
          <w:rFonts w:asciiTheme="majorHAnsi" w:hAnsiTheme="majorHAnsi" w:cstheme="majorHAnsi"/>
          <w:sz w:val="24"/>
          <w:szCs w:val="24"/>
        </w:rPr>
      </w:pPr>
      <w:r w:rsidRPr="00B40537">
        <w:rPr>
          <w:rFonts w:asciiTheme="majorHAnsi" w:hAnsiTheme="majorHAnsi" w:cstheme="majorHAnsi"/>
          <w:sz w:val="24"/>
          <w:szCs w:val="24"/>
        </w:rPr>
        <w:t xml:space="preserve">Our management in treating Venous Thrombo-embolism (VTE) risk was 100%. </w:t>
      </w:r>
    </w:p>
    <w:p w14:paraId="149BA61C" w14:textId="77777777" w:rsidR="005A7EEC" w:rsidRPr="00B40537" w:rsidRDefault="00B603D6" w:rsidP="00AD747A">
      <w:pPr>
        <w:pStyle w:val="FrameContents"/>
        <w:numPr>
          <w:ilvl w:val="0"/>
          <w:numId w:val="23"/>
        </w:numPr>
        <w:jc w:val="both"/>
        <w:rPr>
          <w:rFonts w:asciiTheme="majorHAnsi" w:hAnsiTheme="majorHAnsi" w:cstheme="majorHAnsi"/>
          <w:sz w:val="24"/>
          <w:szCs w:val="24"/>
        </w:rPr>
      </w:pPr>
      <w:r w:rsidRPr="00B40537">
        <w:rPr>
          <w:rFonts w:asciiTheme="majorHAnsi" w:hAnsiTheme="majorHAnsi" w:cstheme="majorHAnsi"/>
          <w:sz w:val="24"/>
          <w:szCs w:val="24"/>
        </w:rPr>
        <w:t>We follow VTE guidelines in accordance with nation</w:t>
      </w:r>
      <w:r w:rsidR="005A7EEC" w:rsidRPr="00B40537">
        <w:rPr>
          <w:rFonts w:asciiTheme="majorHAnsi" w:hAnsiTheme="majorHAnsi" w:cstheme="majorHAnsi"/>
          <w:sz w:val="24"/>
          <w:szCs w:val="24"/>
        </w:rPr>
        <w:t>al recommendations specifically</w:t>
      </w:r>
      <w:r w:rsidRPr="00B40537">
        <w:rPr>
          <w:rFonts w:asciiTheme="majorHAnsi" w:hAnsiTheme="majorHAnsi" w:cstheme="majorHAnsi"/>
          <w:sz w:val="24"/>
          <w:szCs w:val="24"/>
        </w:rPr>
        <w:t xml:space="preserve">NICE Guideline 89 (section 1.4.13). </w:t>
      </w:r>
    </w:p>
    <w:p w14:paraId="3240452F" w14:textId="77777777" w:rsidR="005A7EEC" w:rsidRPr="00B40537" w:rsidRDefault="00B603D6" w:rsidP="00AD747A">
      <w:pPr>
        <w:pStyle w:val="FrameContents"/>
        <w:numPr>
          <w:ilvl w:val="0"/>
          <w:numId w:val="23"/>
        </w:numPr>
        <w:jc w:val="both"/>
        <w:rPr>
          <w:rFonts w:asciiTheme="majorHAnsi" w:hAnsiTheme="majorHAnsi" w:cstheme="majorHAnsi"/>
          <w:sz w:val="24"/>
          <w:szCs w:val="24"/>
        </w:rPr>
      </w:pPr>
      <w:r w:rsidRPr="00B40537">
        <w:rPr>
          <w:rFonts w:asciiTheme="majorHAnsi" w:hAnsiTheme="majorHAnsi" w:cstheme="majorHAnsi"/>
          <w:sz w:val="24"/>
          <w:szCs w:val="24"/>
        </w:rPr>
        <w:t xml:space="preserve">We consider pharmacological VTE prophylaxis, taking into account temporary increases in thrombotic risk factors, risk of bleeding, life expectancy and the views of the person and their family members or carers. </w:t>
      </w:r>
    </w:p>
    <w:p w14:paraId="07A23C64" w14:textId="19A7BAD8" w:rsidR="005A7EEC" w:rsidRPr="00454016" w:rsidRDefault="00B603D6" w:rsidP="00454016">
      <w:pPr>
        <w:pStyle w:val="FrameContents"/>
        <w:numPr>
          <w:ilvl w:val="0"/>
          <w:numId w:val="23"/>
        </w:numPr>
        <w:jc w:val="both"/>
        <w:rPr>
          <w:rFonts w:asciiTheme="majorHAnsi" w:hAnsiTheme="majorHAnsi" w:cstheme="majorHAnsi"/>
          <w:sz w:val="24"/>
          <w:szCs w:val="24"/>
        </w:rPr>
      </w:pPr>
      <w:r w:rsidRPr="00B40537">
        <w:rPr>
          <w:rFonts w:asciiTheme="majorHAnsi" w:hAnsiTheme="majorHAnsi" w:cstheme="majorHAnsi"/>
          <w:sz w:val="24"/>
          <w:szCs w:val="24"/>
        </w:rPr>
        <w:t>When appropriate, we use Low Molecular Weight Heparin as a first-line treatment and monitor daily. We do not offer VTE prophylaxis to people in the last days of life</w:t>
      </w:r>
      <w:r w:rsidRPr="00B40537">
        <w:rPr>
          <w:rFonts w:asciiTheme="majorHAnsi" w:hAnsiTheme="majorHAnsi" w:cstheme="majorHAnsi"/>
          <w:b/>
          <w:sz w:val="24"/>
          <w:szCs w:val="24"/>
        </w:rPr>
        <w:t>.</w:t>
      </w:r>
    </w:p>
    <w:p w14:paraId="75F36DDD" w14:textId="77777777" w:rsidR="00E87D50" w:rsidRPr="00B40537" w:rsidRDefault="00B603D6" w:rsidP="00EA5EB0">
      <w:pPr>
        <w:pStyle w:val="Level1"/>
      </w:pPr>
      <w:bookmarkStart w:id="25" w:name="_Toc216792795"/>
      <w:r w:rsidRPr="00B40537">
        <w:t>Mortality:</w:t>
      </w:r>
      <w:bookmarkEnd w:id="25"/>
      <w:r w:rsidRPr="00B40537">
        <w:t xml:space="preserve"> </w:t>
      </w:r>
    </w:p>
    <w:p w14:paraId="16CAB791" w14:textId="77777777" w:rsidR="00E87D50" w:rsidRPr="00B40537" w:rsidRDefault="00B603D6" w:rsidP="00AD747A">
      <w:pPr>
        <w:pStyle w:val="ListBullet"/>
        <w:numPr>
          <w:ilvl w:val="0"/>
          <w:numId w:val="0"/>
        </w:numPr>
        <w:spacing w:after="0"/>
        <w:jc w:val="both"/>
        <w:rPr>
          <w:rFonts w:asciiTheme="majorHAnsi" w:hAnsiTheme="majorHAnsi" w:cstheme="majorHAnsi"/>
          <w:sz w:val="24"/>
          <w:szCs w:val="24"/>
        </w:rPr>
      </w:pPr>
      <w:r w:rsidRPr="00B40537">
        <w:rPr>
          <w:rFonts w:asciiTheme="majorHAnsi" w:hAnsiTheme="majorHAnsi" w:cstheme="majorHAnsi"/>
          <w:sz w:val="24"/>
          <w:szCs w:val="24"/>
        </w:rPr>
        <w:t xml:space="preserve">A hospice will have a higher mortality rate than other care settings with many individuals choosing a hospice as their preferred place of care and death. </w:t>
      </w:r>
    </w:p>
    <w:p w14:paraId="79F0E7F3" w14:textId="77777777" w:rsidR="00E87D50" w:rsidRPr="00B40537" w:rsidRDefault="00E87D50" w:rsidP="00AD747A">
      <w:pPr>
        <w:pStyle w:val="ListBullet"/>
        <w:numPr>
          <w:ilvl w:val="0"/>
          <w:numId w:val="0"/>
        </w:numPr>
        <w:spacing w:after="0"/>
        <w:jc w:val="both"/>
        <w:rPr>
          <w:rFonts w:asciiTheme="majorHAnsi" w:hAnsiTheme="majorHAnsi" w:cstheme="majorHAnsi"/>
          <w:sz w:val="24"/>
          <w:szCs w:val="24"/>
        </w:rPr>
      </w:pPr>
    </w:p>
    <w:p w14:paraId="529E05C0" w14:textId="72C6C074" w:rsidR="00C1666F" w:rsidRPr="00B40537" w:rsidRDefault="00B603D6" w:rsidP="00AD747A">
      <w:pPr>
        <w:pStyle w:val="ListBullet"/>
        <w:numPr>
          <w:ilvl w:val="0"/>
          <w:numId w:val="0"/>
        </w:numPr>
        <w:jc w:val="both"/>
        <w:rPr>
          <w:rFonts w:asciiTheme="majorHAnsi" w:hAnsiTheme="majorHAnsi" w:cstheme="majorHAnsi"/>
        </w:rPr>
      </w:pPr>
      <w:r w:rsidRPr="00B40537">
        <w:rPr>
          <w:rFonts w:asciiTheme="majorHAnsi" w:hAnsiTheme="majorHAnsi" w:cstheme="majorHAnsi"/>
          <w:sz w:val="24"/>
          <w:szCs w:val="24"/>
        </w:rPr>
        <w:t>All deaths which have occurred at the hospice have been reviewed by the Medical Examiner Service at Fairfield General Hospital, Northern Care Alliance NHS Foundation Trust. In 2024/25, there were no episodes of suboptimal care that contributed to or hastened a patient’s death</w:t>
      </w:r>
      <w:r w:rsidRPr="00B40537">
        <w:rPr>
          <w:rFonts w:asciiTheme="majorHAnsi" w:hAnsiTheme="majorHAnsi" w:cstheme="majorHAnsi"/>
        </w:rPr>
        <w:t>.</w:t>
      </w:r>
    </w:p>
    <w:p w14:paraId="386DFDDC" w14:textId="77777777" w:rsidR="00E87D50" w:rsidRPr="00B40537" w:rsidRDefault="00B603D6" w:rsidP="00EA5EB0">
      <w:pPr>
        <w:pStyle w:val="Level1"/>
        <w:outlineLvl w:val="1"/>
      </w:pPr>
      <w:bookmarkStart w:id="26" w:name="_Toc216792796"/>
      <w:r w:rsidRPr="00B40537">
        <w:t>Medication:</w:t>
      </w:r>
      <w:bookmarkEnd w:id="26"/>
    </w:p>
    <w:p w14:paraId="6EB0B66A" w14:textId="7777777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t xml:space="preserve">Due to the limitations of the benchmarking exercise, we cannot meaningfully compare ourselves against other hospices as most incidents at other hospices and at Bury Hospice are no or low harm and are not benchmarked by Hospice UK since mid-2024. </w:t>
      </w:r>
    </w:p>
    <w:p w14:paraId="0C52E404" w14:textId="77777777" w:rsidR="00E87D50" w:rsidRPr="00B40537" w:rsidRDefault="00B603D6" w:rsidP="00AD747A">
      <w:pPr>
        <w:pStyle w:val="ListBullet"/>
        <w:numPr>
          <w:ilvl w:val="0"/>
          <w:numId w:val="0"/>
        </w:numPr>
        <w:jc w:val="both"/>
        <w:rPr>
          <w:rFonts w:asciiTheme="majorHAnsi" w:hAnsiTheme="majorHAnsi" w:cstheme="majorHAnsi"/>
          <w:sz w:val="24"/>
          <w:szCs w:val="24"/>
        </w:rPr>
      </w:pPr>
      <w:r w:rsidRPr="00B40537">
        <w:rPr>
          <w:rFonts w:asciiTheme="majorHAnsi" w:hAnsiTheme="majorHAnsi" w:cstheme="majorHAnsi"/>
          <w:sz w:val="24"/>
          <w:szCs w:val="24"/>
        </w:rPr>
        <w:lastRenderedPageBreak/>
        <w:t>There were no medication incidents resulting in death at Bury Hospice or across the UK hospice sector.</w:t>
      </w:r>
    </w:p>
    <w:p w14:paraId="63022952" w14:textId="77777777" w:rsidR="00E87D50" w:rsidRPr="00B40537" w:rsidRDefault="00E87D50" w:rsidP="00AD747A">
      <w:pPr>
        <w:pStyle w:val="ListBullet"/>
        <w:numPr>
          <w:ilvl w:val="0"/>
          <w:numId w:val="0"/>
        </w:numPr>
        <w:jc w:val="both"/>
        <w:rPr>
          <w:rFonts w:asciiTheme="majorHAnsi" w:hAnsiTheme="majorHAnsi" w:cstheme="majorHAnsi"/>
        </w:rPr>
      </w:pPr>
    </w:p>
    <w:p w14:paraId="1B30717F" w14:textId="3CDB7E6A" w:rsidR="00E87D50" w:rsidRPr="00B40537" w:rsidRDefault="00B603D6" w:rsidP="00AD747A">
      <w:pPr>
        <w:pStyle w:val="ListBullet"/>
        <w:numPr>
          <w:ilvl w:val="0"/>
          <w:numId w:val="0"/>
        </w:numPr>
        <w:jc w:val="both"/>
        <w:rPr>
          <w:rFonts w:asciiTheme="majorHAnsi" w:hAnsiTheme="majorHAnsi" w:cstheme="majorHAnsi"/>
        </w:rPr>
      </w:pPr>
      <w:r w:rsidRPr="00B40537">
        <w:rPr>
          <w:rFonts w:asciiTheme="majorHAnsi" w:hAnsiTheme="majorHAnsi" w:cstheme="majorHAnsi"/>
        </w:rPr>
        <w:t xml:space="preserve"> </w:t>
      </w:r>
      <w:r w:rsidRPr="00B40537">
        <w:rPr>
          <w:rFonts w:asciiTheme="majorHAnsi" w:hAnsiTheme="majorHAnsi" w:cstheme="majorHAnsi"/>
          <w:noProof/>
          <w:lang w:val="en-GB" w:eastAsia="en-GB"/>
        </w:rPr>
        <w:drawing>
          <wp:anchor distT="0" distB="0" distL="114300" distR="114300" simplePos="0" relativeHeight="251686912" behindDoc="0" locked="0" layoutInCell="1" allowOverlap="1" wp14:anchorId="221C2858" wp14:editId="53EA29B2">
            <wp:simplePos x="0" y="0"/>
            <wp:positionH relativeFrom="margin">
              <wp:align>center</wp:align>
            </wp:positionH>
            <wp:positionV relativeFrom="paragraph">
              <wp:posOffset>4445</wp:posOffset>
            </wp:positionV>
            <wp:extent cx="5003800" cy="2664000"/>
            <wp:effectExtent l="0" t="0" r="6350" b="3175"/>
            <wp:wrapTopAndBottom/>
            <wp:docPr id="30"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V relativeFrom="margin">
              <wp14:pctHeight>0</wp14:pctHeight>
            </wp14:sizeRelV>
          </wp:anchor>
        </w:drawing>
      </w:r>
    </w:p>
    <w:p w14:paraId="1B6F2C55" w14:textId="1C51F935" w:rsidR="00E87D50" w:rsidRPr="00B40537" w:rsidRDefault="00B603D6" w:rsidP="00A5336E">
      <w:pPr>
        <w:pStyle w:val="ListBullet"/>
        <w:numPr>
          <w:ilvl w:val="0"/>
          <w:numId w:val="0"/>
        </w:numPr>
        <w:spacing w:line="360" w:lineRule="auto"/>
        <w:ind w:left="360" w:hanging="360"/>
        <w:jc w:val="both"/>
        <w:rPr>
          <w:rFonts w:asciiTheme="majorHAnsi" w:hAnsiTheme="majorHAnsi" w:cstheme="majorHAnsi"/>
          <w:sz w:val="24"/>
          <w:szCs w:val="24"/>
        </w:rPr>
      </w:pPr>
      <w:r w:rsidRPr="00B40537">
        <w:rPr>
          <w:rFonts w:asciiTheme="majorHAnsi" w:hAnsiTheme="majorHAnsi" w:cstheme="majorHAnsi"/>
          <w:sz w:val="24"/>
          <w:szCs w:val="24"/>
        </w:rPr>
        <w:t xml:space="preserve">To manage and reduce the risk of medication incidents or errors we: </w:t>
      </w:r>
    </w:p>
    <w:p w14:paraId="13047EDD" w14:textId="77777777" w:rsidR="00E87D50" w:rsidRPr="00B40537" w:rsidRDefault="00B603D6" w:rsidP="00AD747A">
      <w:pPr>
        <w:pStyle w:val="ListBullet"/>
        <w:numPr>
          <w:ilvl w:val="0"/>
          <w:numId w:val="7"/>
        </w:numPr>
        <w:jc w:val="both"/>
        <w:rPr>
          <w:rFonts w:asciiTheme="majorHAnsi" w:hAnsiTheme="majorHAnsi" w:cstheme="majorHAnsi"/>
          <w:sz w:val="24"/>
          <w:szCs w:val="24"/>
        </w:rPr>
      </w:pPr>
      <w:r w:rsidRPr="00B40537">
        <w:rPr>
          <w:rFonts w:asciiTheme="majorHAnsi" w:hAnsiTheme="majorHAnsi" w:cstheme="majorHAnsi"/>
          <w:sz w:val="24"/>
          <w:szCs w:val="24"/>
        </w:rPr>
        <w:t xml:space="preserve">Monitor and review all incidents at ward level with robust investigations and support for staff, and any learning identified, key trends and mitigation are discussed at Clinical Standards and reported to Clinical Governance Committee, which has trustee representation. </w:t>
      </w:r>
    </w:p>
    <w:p w14:paraId="2E83B0CA" w14:textId="77777777" w:rsidR="005A7EEC" w:rsidRPr="00B40537" w:rsidRDefault="00B603D6" w:rsidP="00AD747A">
      <w:pPr>
        <w:pStyle w:val="ListBullet"/>
        <w:numPr>
          <w:ilvl w:val="0"/>
          <w:numId w:val="7"/>
        </w:numPr>
        <w:jc w:val="both"/>
        <w:rPr>
          <w:rFonts w:asciiTheme="majorHAnsi" w:hAnsiTheme="majorHAnsi" w:cstheme="majorHAnsi"/>
          <w:sz w:val="24"/>
          <w:szCs w:val="24"/>
        </w:rPr>
      </w:pPr>
      <w:r w:rsidRPr="00B40537">
        <w:rPr>
          <w:rFonts w:asciiTheme="majorHAnsi" w:hAnsiTheme="majorHAnsi" w:cstheme="majorHAnsi"/>
          <w:sz w:val="24"/>
          <w:szCs w:val="24"/>
        </w:rPr>
        <w:t xml:space="preserve">Working to implement electronic prescribing module E-Works which will reduce errors and support improved patient safety. </w:t>
      </w:r>
    </w:p>
    <w:p w14:paraId="0D21FA52" w14:textId="77777777" w:rsidR="00E87D50" w:rsidRPr="00B40537" w:rsidRDefault="00B603D6" w:rsidP="00AD747A">
      <w:pPr>
        <w:pStyle w:val="ListBullet"/>
        <w:numPr>
          <w:ilvl w:val="0"/>
          <w:numId w:val="7"/>
        </w:numPr>
        <w:jc w:val="both"/>
        <w:rPr>
          <w:rFonts w:asciiTheme="majorHAnsi" w:hAnsiTheme="majorHAnsi" w:cstheme="majorHAnsi"/>
          <w:sz w:val="24"/>
          <w:szCs w:val="24"/>
        </w:rPr>
      </w:pPr>
      <w:r w:rsidRPr="00B40537">
        <w:rPr>
          <w:rFonts w:asciiTheme="majorHAnsi" w:hAnsiTheme="majorHAnsi" w:cstheme="majorHAnsi"/>
          <w:sz w:val="24"/>
          <w:szCs w:val="24"/>
        </w:rPr>
        <w:t>Train all our nurses regarding safe medicines management as part of their induction and this is repeated every 2 years.</w:t>
      </w:r>
    </w:p>
    <w:p w14:paraId="6B8CD375" w14:textId="77777777" w:rsidR="00E87D50" w:rsidRPr="00B40537" w:rsidRDefault="00B603D6" w:rsidP="00A5336E">
      <w:pPr>
        <w:pStyle w:val="Level1"/>
        <w:outlineLvl w:val="1"/>
      </w:pPr>
      <w:bookmarkStart w:id="27" w:name="_Toc216792797"/>
      <w:r w:rsidRPr="00B40537">
        <w:t>Controlled Drugs Incidents:</w:t>
      </w:r>
      <w:bookmarkEnd w:id="27"/>
      <w:r w:rsidRPr="00B40537">
        <w:t xml:space="preserve"> </w:t>
      </w:r>
    </w:p>
    <w:p w14:paraId="14992E23" w14:textId="77777777" w:rsidR="00E87D50" w:rsidRPr="00B40537" w:rsidRDefault="00B603D6" w:rsidP="00AD747A">
      <w:pPr>
        <w:spacing w:line="240" w:lineRule="auto"/>
        <w:jc w:val="both"/>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sz w:val="24"/>
          <w:szCs w:val="24"/>
        </w:rPr>
        <w:t xml:space="preserve">The CQC monitors governance of controlled drugs, with arrangements varying by organisation. At Bury Hospice, all incidents, including those involving controlled drugs, are reported and reviewed by the Controlled Drugs Accountable Officer (CDAO), who is our Director of Clinical Services. Significant incidents are escalated immediately to the CEO. Summaries are prepared for Clinical Standards and Clinical Governance Committees, with minutes shared with the Board of Trustees. </w:t>
      </w:r>
    </w:p>
    <w:p w14:paraId="538BA74A"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Within this period there were no catastrophic or major incidents reported and no reason for escalation to the Police, the Greater Manchester Local Intelligence Network (GM LIN) or NHS England. </w:t>
      </w:r>
    </w:p>
    <w:p w14:paraId="2F9DB307" w14:textId="77777777"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There were </w:t>
      </w:r>
      <w:r w:rsidRPr="00B40537">
        <w:rPr>
          <w:rFonts w:asciiTheme="majorHAnsi" w:hAnsiTheme="majorHAnsi" w:cstheme="majorHAnsi"/>
          <w:b/>
          <w:bCs/>
          <w:color w:val="5F497A" w:themeColor="accent4" w:themeShade="BF"/>
          <w:sz w:val="24"/>
          <w:szCs w:val="24"/>
        </w:rPr>
        <w:t>116</w:t>
      </w:r>
      <w:r w:rsidRPr="00B40537">
        <w:rPr>
          <w:rFonts w:asciiTheme="majorHAnsi" w:hAnsiTheme="majorHAnsi" w:cstheme="majorHAnsi"/>
          <w:sz w:val="24"/>
          <w:szCs w:val="24"/>
        </w:rPr>
        <w:t xml:space="preserve"> internal incidents/near misses involving controlled drugs reported to the LIN, of which </w:t>
      </w:r>
      <w:r w:rsidRPr="00B40537">
        <w:rPr>
          <w:rFonts w:asciiTheme="majorHAnsi" w:hAnsiTheme="majorHAnsi" w:cstheme="majorHAnsi"/>
          <w:b/>
          <w:bCs/>
          <w:color w:val="5F497A" w:themeColor="accent4" w:themeShade="BF"/>
          <w:sz w:val="24"/>
          <w:szCs w:val="24"/>
        </w:rPr>
        <w:t>94%</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 xml:space="preserve">(109) were no harm and </w:t>
      </w:r>
      <w:r w:rsidRPr="00B40537">
        <w:rPr>
          <w:rFonts w:asciiTheme="majorHAnsi" w:hAnsiTheme="majorHAnsi" w:cstheme="majorHAnsi"/>
          <w:b/>
          <w:bCs/>
          <w:color w:val="5F497A" w:themeColor="accent4" w:themeShade="BF"/>
          <w:sz w:val="24"/>
          <w:szCs w:val="24"/>
        </w:rPr>
        <w:t>7%</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(7) were low harm, with the majority being documentation errors, including missed signatures. All were investigated and learning from incidents disseminated as appropriate to relevant staff.</w:t>
      </w:r>
    </w:p>
    <w:p w14:paraId="581D0A1F" w14:textId="7D96F9A4" w:rsidR="00E87D50" w:rsidRPr="00A5336E" w:rsidRDefault="00B603D6" w:rsidP="00A5336E">
      <w:pPr>
        <w:pStyle w:val="MainLevel"/>
      </w:pPr>
      <w:bookmarkStart w:id="28" w:name="_Toc216792798"/>
      <w:r w:rsidRPr="00B40537">
        <w:lastRenderedPageBreak/>
        <w:t>Audit</w:t>
      </w:r>
      <w:bookmarkEnd w:id="28"/>
    </w:p>
    <w:p w14:paraId="6D1A3D45" w14:textId="77777777" w:rsidR="00E87D50" w:rsidRPr="00B40537" w:rsidRDefault="00B603D6" w:rsidP="00A5336E">
      <w:pPr>
        <w:pStyle w:val="Level1"/>
      </w:pPr>
      <w:bookmarkStart w:id="29" w:name="_Toc216792799"/>
      <w:r w:rsidRPr="00B40537">
        <w:t>Local Audits</w:t>
      </w:r>
      <w:r w:rsidR="000755A5" w:rsidRPr="00B40537">
        <w:t>:</w:t>
      </w:r>
      <w:bookmarkEnd w:id="29"/>
    </w:p>
    <w:p w14:paraId="22AD837E" w14:textId="77777777" w:rsidR="00E87D50" w:rsidRPr="00B40537" w:rsidRDefault="00B603D6" w:rsidP="00AD747A">
      <w:pPr>
        <w:pStyle w:val="ListBullet"/>
        <w:numPr>
          <w:ilvl w:val="0"/>
          <w:numId w:val="0"/>
        </w:numPr>
        <w:spacing w:after="0" w:line="240" w:lineRule="auto"/>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As part of continuously improving the quality-of-care provision we conduct audits and service evaluations using where possible, nationally agreed hospice specific benchmarking tools. During the year, we have completed a number of quality and practice audits to assess our compliance and effectiveness in relation to national and local good practice guidance. </w:t>
      </w:r>
    </w:p>
    <w:p w14:paraId="759A4353" w14:textId="77777777" w:rsidR="00E87D50" w:rsidRPr="00B40537" w:rsidRDefault="00B603D6" w:rsidP="00AD747A">
      <w:pPr>
        <w:pStyle w:val="ListBullet"/>
        <w:numPr>
          <w:ilvl w:val="0"/>
          <w:numId w:val="0"/>
        </w:numPr>
        <w:spacing w:after="0" w:line="240" w:lineRule="auto"/>
        <w:ind w:left="360"/>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 </w:t>
      </w:r>
    </w:p>
    <w:p w14:paraId="3A15BD17" w14:textId="77777777" w:rsidR="00E87D50" w:rsidRPr="00B40537" w:rsidRDefault="00B603D6" w:rsidP="00AD747A">
      <w:pPr>
        <w:pStyle w:val="ListBullet"/>
        <w:numPr>
          <w:ilvl w:val="0"/>
          <w:numId w:val="0"/>
        </w:numPr>
        <w:spacing w:after="0" w:line="240" w:lineRule="auto"/>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These audits are monitored through the Clinical Governance Committee, which reports to the Board for assurance at the highest level in the organisation. </w:t>
      </w:r>
    </w:p>
    <w:p w14:paraId="6F03F198" w14:textId="77777777" w:rsidR="00E87D50" w:rsidRPr="00B40537" w:rsidRDefault="00B603D6" w:rsidP="00AD747A">
      <w:pPr>
        <w:pStyle w:val="ListBullet"/>
        <w:numPr>
          <w:ilvl w:val="0"/>
          <w:numId w:val="0"/>
        </w:numPr>
        <w:spacing w:after="0" w:line="240" w:lineRule="auto"/>
        <w:ind w:left="360"/>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 </w:t>
      </w:r>
    </w:p>
    <w:p w14:paraId="0558570C" w14:textId="77777777" w:rsidR="00E87D50" w:rsidRPr="00B40537" w:rsidRDefault="00B603D6" w:rsidP="00AD747A">
      <w:pPr>
        <w:pStyle w:val="ListBullet"/>
        <w:numPr>
          <w:ilvl w:val="0"/>
          <w:numId w:val="0"/>
        </w:numPr>
        <w:spacing w:after="0" w:line="240" w:lineRule="auto"/>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An annual plan is agreed and scheduled at the beginning of each year, and usually, additional audits are included as identified from our monitoring and review processes linked to patients’ quality and safety. </w:t>
      </w:r>
    </w:p>
    <w:p w14:paraId="29102088" w14:textId="77777777" w:rsidR="00E87D50" w:rsidRPr="00B40537" w:rsidRDefault="00E87D50" w:rsidP="00AD747A">
      <w:pPr>
        <w:pStyle w:val="ListBullet"/>
        <w:numPr>
          <w:ilvl w:val="0"/>
          <w:numId w:val="0"/>
        </w:numPr>
        <w:spacing w:after="0" w:line="240" w:lineRule="auto"/>
        <w:jc w:val="both"/>
        <w:rPr>
          <w:rFonts w:asciiTheme="majorHAnsi" w:eastAsia="Calibri" w:hAnsiTheme="majorHAnsi" w:cstheme="majorHAnsi"/>
          <w:bCs/>
          <w:sz w:val="24"/>
          <w:szCs w:val="24"/>
        </w:rPr>
      </w:pPr>
    </w:p>
    <w:p w14:paraId="6ABCCB95" w14:textId="77777777" w:rsidR="00E87D50" w:rsidRPr="00B40537" w:rsidRDefault="00B603D6" w:rsidP="00AD747A">
      <w:pPr>
        <w:pStyle w:val="ListBullet"/>
        <w:numPr>
          <w:ilvl w:val="0"/>
          <w:numId w:val="0"/>
        </w:numPr>
        <w:spacing w:after="0" w:line="240" w:lineRule="auto"/>
        <w:jc w:val="both"/>
        <w:rPr>
          <w:rFonts w:asciiTheme="majorHAnsi" w:hAnsiTheme="majorHAnsi" w:cstheme="majorHAnsi"/>
          <w:sz w:val="24"/>
          <w:szCs w:val="24"/>
        </w:rPr>
      </w:pPr>
      <w:r w:rsidRPr="00B40537">
        <w:rPr>
          <w:rFonts w:asciiTheme="majorHAnsi" w:eastAsia="Calibri" w:hAnsiTheme="majorHAnsi" w:cstheme="majorHAnsi"/>
          <w:bCs/>
          <w:sz w:val="24"/>
          <w:szCs w:val="24"/>
        </w:rPr>
        <w:t>The following are examples of audits (both clinical and non-clinical)</w:t>
      </w:r>
      <w:r w:rsidRPr="00B40537">
        <w:rPr>
          <w:rFonts w:asciiTheme="majorHAnsi" w:hAnsiTheme="majorHAnsi" w:cstheme="majorHAnsi"/>
          <w:sz w:val="24"/>
          <w:szCs w:val="24"/>
        </w:rPr>
        <w:t xml:space="preserve"> conducted within the Hospice in 2024-2025:</w:t>
      </w:r>
    </w:p>
    <w:tbl>
      <w:tblPr>
        <w:tblStyle w:val="TableGrid0"/>
        <w:tblpPr w:leftFromText="180" w:rightFromText="180" w:vertAnchor="text" w:horzAnchor="page" w:tblpX="1004" w:tblpY="397"/>
        <w:tblW w:w="10203" w:type="dxa"/>
        <w:tblInd w:w="0" w:type="dxa"/>
        <w:tblLayout w:type="fixed"/>
        <w:tblCellMar>
          <w:top w:w="77" w:type="dxa"/>
          <w:left w:w="104" w:type="dxa"/>
          <w:right w:w="48" w:type="dxa"/>
        </w:tblCellMar>
        <w:tblLook w:val="04A0" w:firstRow="1" w:lastRow="0" w:firstColumn="1" w:lastColumn="0" w:noHBand="0" w:noVBand="1"/>
      </w:tblPr>
      <w:tblGrid>
        <w:gridCol w:w="2127"/>
        <w:gridCol w:w="2973"/>
        <w:gridCol w:w="2463"/>
        <w:gridCol w:w="2640"/>
      </w:tblGrid>
      <w:tr w:rsidR="00E87D50" w:rsidRPr="00B40537" w14:paraId="478A9308" w14:textId="77777777" w:rsidTr="00C34300">
        <w:trPr>
          <w:trHeight w:val="573"/>
        </w:trPr>
        <w:tc>
          <w:tcPr>
            <w:tcW w:w="2127" w:type="dxa"/>
            <w:tcBorders>
              <w:top w:val="single" w:sz="2" w:space="0" w:color="17428B"/>
              <w:left w:val="single" w:sz="2" w:space="0" w:color="17428B"/>
              <w:right w:val="single" w:sz="2" w:space="0" w:color="000000"/>
            </w:tcBorders>
            <w:shd w:val="clear" w:color="auto" w:fill="B2A1C7" w:themeFill="accent4" w:themeFillTint="99"/>
            <w:vAlign w:val="center"/>
          </w:tcPr>
          <w:p w14:paraId="67DB0C96" w14:textId="77777777" w:rsidR="00E87D50" w:rsidRPr="00B40537" w:rsidRDefault="00B603D6" w:rsidP="00C34300">
            <w:pPr>
              <w:spacing w:after="0" w:line="259" w:lineRule="auto"/>
              <w:ind w:right="56"/>
              <w:jc w:val="center"/>
              <w:rPr>
                <w:rFonts w:asciiTheme="majorHAnsi" w:hAnsiTheme="majorHAnsi" w:cstheme="majorHAnsi"/>
              </w:rPr>
            </w:pPr>
            <w:r w:rsidRPr="00B40537">
              <w:rPr>
                <w:rFonts w:asciiTheme="majorHAnsi" w:eastAsia="Calibri" w:hAnsiTheme="majorHAnsi" w:cstheme="majorHAnsi"/>
                <w:b/>
                <w:kern w:val="2"/>
                <w:sz w:val="28"/>
              </w:rPr>
              <w:t>Audit</w:t>
            </w:r>
          </w:p>
        </w:tc>
        <w:tc>
          <w:tcPr>
            <w:tcW w:w="2973" w:type="dxa"/>
            <w:tcBorders>
              <w:top w:val="single" w:sz="2" w:space="0" w:color="17428B"/>
              <w:left w:val="single" w:sz="2" w:space="0" w:color="000000"/>
              <w:right w:val="single" w:sz="2" w:space="0" w:color="17428B"/>
            </w:tcBorders>
            <w:shd w:val="clear" w:color="auto" w:fill="B2A1C7" w:themeFill="accent4" w:themeFillTint="99"/>
            <w:vAlign w:val="center"/>
          </w:tcPr>
          <w:p w14:paraId="597EC130" w14:textId="77777777" w:rsidR="00E87D50" w:rsidRPr="00B40537" w:rsidRDefault="00B603D6" w:rsidP="00C34300">
            <w:pPr>
              <w:spacing w:after="0" w:line="259" w:lineRule="auto"/>
              <w:ind w:left="175"/>
              <w:jc w:val="center"/>
              <w:rPr>
                <w:rFonts w:asciiTheme="majorHAnsi" w:hAnsiTheme="majorHAnsi" w:cstheme="majorHAnsi"/>
              </w:rPr>
            </w:pPr>
            <w:r w:rsidRPr="00B40537">
              <w:rPr>
                <w:rFonts w:asciiTheme="majorHAnsi" w:eastAsia="Calibri" w:hAnsiTheme="majorHAnsi" w:cstheme="majorHAnsi"/>
                <w:b/>
                <w:kern w:val="2"/>
                <w:sz w:val="28"/>
              </w:rPr>
              <w:t>Summary of results</w:t>
            </w:r>
          </w:p>
        </w:tc>
        <w:tc>
          <w:tcPr>
            <w:tcW w:w="2463" w:type="dxa"/>
            <w:tcBorders>
              <w:top w:val="single" w:sz="2" w:space="0" w:color="17428B"/>
              <w:left w:val="single" w:sz="2" w:space="0" w:color="17428B"/>
              <w:right w:val="single" w:sz="2" w:space="0" w:color="17428B"/>
            </w:tcBorders>
            <w:shd w:val="clear" w:color="auto" w:fill="B2A1C7" w:themeFill="accent4" w:themeFillTint="99"/>
            <w:vAlign w:val="center"/>
          </w:tcPr>
          <w:p w14:paraId="6EC64173" w14:textId="77777777" w:rsidR="00E87D50" w:rsidRPr="00B40537" w:rsidRDefault="00B603D6" w:rsidP="00C34300">
            <w:pPr>
              <w:spacing w:after="0" w:line="259" w:lineRule="auto"/>
              <w:ind w:right="56"/>
              <w:jc w:val="center"/>
              <w:rPr>
                <w:rFonts w:asciiTheme="majorHAnsi" w:hAnsiTheme="majorHAnsi" w:cstheme="majorHAnsi"/>
              </w:rPr>
            </w:pPr>
            <w:r w:rsidRPr="00B40537">
              <w:rPr>
                <w:rFonts w:asciiTheme="majorHAnsi" w:eastAsia="Calibri" w:hAnsiTheme="majorHAnsi" w:cstheme="majorHAnsi"/>
                <w:b/>
                <w:kern w:val="2"/>
                <w:sz w:val="28"/>
              </w:rPr>
              <w:t>To improve on</w:t>
            </w:r>
          </w:p>
        </w:tc>
        <w:tc>
          <w:tcPr>
            <w:tcW w:w="2640" w:type="dxa"/>
            <w:tcBorders>
              <w:top w:val="single" w:sz="2" w:space="0" w:color="17428B"/>
              <w:left w:val="single" w:sz="2" w:space="0" w:color="17428B"/>
              <w:right w:val="single" w:sz="2" w:space="0" w:color="17428B"/>
            </w:tcBorders>
            <w:shd w:val="clear" w:color="auto" w:fill="B2A1C7" w:themeFill="accent4" w:themeFillTint="99"/>
            <w:vAlign w:val="center"/>
          </w:tcPr>
          <w:p w14:paraId="46C9D203" w14:textId="77777777" w:rsidR="00E87D50" w:rsidRPr="00B40537" w:rsidRDefault="00B603D6" w:rsidP="00C34300">
            <w:pPr>
              <w:spacing w:after="0" w:line="259" w:lineRule="auto"/>
              <w:ind w:right="52"/>
              <w:jc w:val="center"/>
              <w:rPr>
                <w:rFonts w:asciiTheme="majorHAnsi" w:hAnsiTheme="majorHAnsi" w:cstheme="majorHAnsi"/>
              </w:rPr>
            </w:pPr>
            <w:r w:rsidRPr="00B40537">
              <w:rPr>
                <w:rFonts w:asciiTheme="majorHAnsi" w:eastAsia="Calibri" w:hAnsiTheme="majorHAnsi" w:cstheme="majorHAnsi"/>
                <w:b/>
                <w:kern w:val="2"/>
                <w:sz w:val="28"/>
              </w:rPr>
              <w:t>How</w:t>
            </w:r>
          </w:p>
        </w:tc>
      </w:tr>
      <w:tr w:rsidR="00E87D50" w:rsidRPr="00B40537" w14:paraId="264A40DF" w14:textId="77777777" w:rsidTr="00C34300">
        <w:trPr>
          <w:trHeight w:val="826"/>
        </w:trPr>
        <w:tc>
          <w:tcPr>
            <w:tcW w:w="2127" w:type="dxa"/>
            <w:tcBorders>
              <w:left w:val="single" w:sz="2" w:space="0" w:color="17428B"/>
              <w:bottom w:val="single" w:sz="2" w:space="0" w:color="000000"/>
              <w:right w:val="single" w:sz="2" w:space="0" w:color="000000"/>
            </w:tcBorders>
            <w:vAlign w:val="center"/>
          </w:tcPr>
          <w:p w14:paraId="2A3780DC" w14:textId="77777777" w:rsidR="00E87D50"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Oral Care Audit</w:t>
            </w:r>
          </w:p>
        </w:tc>
        <w:tc>
          <w:tcPr>
            <w:tcW w:w="2973" w:type="dxa"/>
            <w:tcBorders>
              <w:left w:val="single" w:sz="2" w:space="0" w:color="000000"/>
              <w:bottom w:val="single" w:sz="2" w:space="0" w:color="000000"/>
              <w:right w:val="single" w:sz="2" w:space="0" w:color="17428B"/>
            </w:tcBorders>
          </w:tcPr>
          <w:p w14:paraId="2E57416E" w14:textId="77777777" w:rsidR="00816CEF"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The audit shows several strong areas of documentation, with some elements scoring 95% and 90% in the first oral care audit.</w:t>
            </w:r>
          </w:p>
          <w:p w14:paraId="6475D3B4" w14:textId="77777777" w:rsidR="00816CEF" w:rsidRPr="00B40537" w:rsidRDefault="00816CEF" w:rsidP="00C34300">
            <w:pPr>
              <w:spacing w:after="0" w:line="259" w:lineRule="auto"/>
              <w:rPr>
                <w:rFonts w:asciiTheme="majorHAnsi" w:hAnsiTheme="majorHAnsi" w:cstheme="majorHAnsi"/>
              </w:rPr>
            </w:pPr>
          </w:p>
          <w:p w14:paraId="174789D1" w14:textId="77777777" w:rsidR="00816CEF"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Oral care assessment logs are completed well, showing good compliance with recording assessments.</w:t>
            </w:r>
          </w:p>
          <w:p w14:paraId="2E7EE035" w14:textId="77777777" w:rsidR="00816CEF" w:rsidRPr="00B40537" w:rsidRDefault="00816CEF" w:rsidP="00C34300">
            <w:pPr>
              <w:spacing w:after="0" w:line="259" w:lineRule="auto"/>
              <w:rPr>
                <w:rFonts w:asciiTheme="majorHAnsi" w:hAnsiTheme="majorHAnsi" w:cstheme="majorHAnsi"/>
              </w:rPr>
            </w:pPr>
          </w:p>
          <w:p w14:paraId="546C1D74" w14:textId="77777777" w:rsidR="00E87D50"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This audit serves as a baseline, as no previous oral care audits exist for comparison.</w:t>
            </w:r>
          </w:p>
        </w:tc>
        <w:tc>
          <w:tcPr>
            <w:tcW w:w="2463" w:type="dxa"/>
            <w:tcBorders>
              <w:left w:val="single" w:sz="2" w:space="0" w:color="17428B"/>
              <w:bottom w:val="single" w:sz="2" w:space="0" w:color="000000"/>
              <w:right w:val="single" w:sz="2" w:space="0" w:color="17428B"/>
            </w:tcBorders>
          </w:tcPr>
          <w:p w14:paraId="52B2E0ED" w14:textId="77777777" w:rsidR="00816CEF"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Improve nursing notes by completing 7-day updates, documenting changes, and recording oral care delivered.</w:t>
            </w:r>
          </w:p>
          <w:p w14:paraId="336BD29E" w14:textId="77777777" w:rsidR="00816CEF" w:rsidRPr="00B40537" w:rsidRDefault="00816CEF" w:rsidP="00C34300">
            <w:pPr>
              <w:spacing w:after="0" w:line="259" w:lineRule="auto"/>
              <w:rPr>
                <w:rFonts w:asciiTheme="majorHAnsi" w:hAnsiTheme="majorHAnsi" w:cstheme="majorHAnsi"/>
              </w:rPr>
            </w:pPr>
          </w:p>
          <w:p w14:paraId="4A7BCE2A" w14:textId="77777777" w:rsidR="00816CEF"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Strengthen communication at huddles to ensure care plans are updated and standards followed.</w:t>
            </w:r>
          </w:p>
          <w:p w14:paraId="0AA10823" w14:textId="77777777" w:rsidR="00816CEF" w:rsidRPr="00B40537" w:rsidRDefault="00816CEF" w:rsidP="00C34300">
            <w:pPr>
              <w:spacing w:after="0" w:line="259" w:lineRule="auto"/>
              <w:rPr>
                <w:rFonts w:asciiTheme="majorHAnsi" w:hAnsiTheme="majorHAnsi" w:cstheme="majorHAnsi"/>
              </w:rPr>
            </w:pPr>
          </w:p>
          <w:p w14:paraId="5EC1E940" w14:textId="77777777" w:rsidR="00E87D50" w:rsidRPr="00B40537" w:rsidRDefault="00816CEF" w:rsidP="00C34300">
            <w:pPr>
              <w:spacing w:after="0" w:line="259" w:lineRule="auto"/>
              <w:rPr>
                <w:rFonts w:asciiTheme="majorHAnsi" w:hAnsiTheme="majorHAnsi" w:cstheme="majorHAnsi"/>
              </w:rPr>
            </w:pPr>
            <w:r w:rsidRPr="00B40537">
              <w:rPr>
                <w:rFonts w:asciiTheme="majorHAnsi" w:hAnsiTheme="majorHAnsi" w:cstheme="majorHAnsi"/>
              </w:rPr>
              <w:t>Encourage staff to request oral care assessments from the Oral Pal</w:t>
            </w:r>
            <w:r w:rsidR="00512EAE" w:rsidRPr="00B40537">
              <w:rPr>
                <w:rFonts w:asciiTheme="majorHAnsi" w:hAnsiTheme="majorHAnsi" w:cstheme="majorHAnsi"/>
              </w:rPr>
              <w:t>liative Care Nurse when needed.</w:t>
            </w:r>
          </w:p>
        </w:tc>
        <w:tc>
          <w:tcPr>
            <w:tcW w:w="2640" w:type="dxa"/>
            <w:tcBorders>
              <w:left w:val="single" w:sz="2" w:space="0" w:color="17428B"/>
              <w:bottom w:val="single" w:sz="2" w:space="0" w:color="000000"/>
              <w:right w:val="single" w:sz="2" w:space="0" w:color="17428B"/>
            </w:tcBorders>
          </w:tcPr>
          <w:p w14:paraId="501E217A" w14:textId="77777777" w:rsidR="00816CEF" w:rsidRPr="00B40537" w:rsidRDefault="00816CEF" w:rsidP="00C34300">
            <w:pPr>
              <w:spacing w:after="0" w:line="259" w:lineRule="auto"/>
              <w:ind w:left="50" w:right="103"/>
              <w:rPr>
                <w:rFonts w:asciiTheme="majorHAnsi" w:hAnsiTheme="majorHAnsi" w:cstheme="majorHAnsi"/>
              </w:rPr>
            </w:pPr>
            <w:r w:rsidRPr="00B40537">
              <w:rPr>
                <w:rFonts w:asciiTheme="majorHAnsi" w:hAnsiTheme="majorHAnsi" w:cstheme="majorHAnsi"/>
              </w:rPr>
              <w:t>Targeted staff training for documentation and review of handover process and documentation.</w:t>
            </w:r>
          </w:p>
          <w:p w14:paraId="2EF72E5F" w14:textId="77777777" w:rsidR="00816CEF" w:rsidRPr="00B40537" w:rsidRDefault="00816CEF" w:rsidP="00C34300">
            <w:pPr>
              <w:spacing w:after="0" w:line="259" w:lineRule="auto"/>
              <w:ind w:left="50" w:right="103"/>
              <w:rPr>
                <w:rFonts w:asciiTheme="majorHAnsi" w:hAnsiTheme="majorHAnsi" w:cstheme="majorHAnsi"/>
              </w:rPr>
            </w:pPr>
          </w:p>
          <w:p w14:paraId="5BBABF50" w14:textId="77777777" w:rsidR="00816CEF" w:rsidRPr="00B40537" w:rsidRDefault="00816CEF" w:rsidP="00C34300">
            <w:pPr>
              <w:spacing w:after="0" w:line="259" w:lineRule="auto"/>
              <w:ind w:left="50" w:right="103"/>
              <w:rPr>
                <w:rFonts w:asciiTheme="majorHAnsi" w:hAnsiTheme="majorHAnsi" w:cstheme="majorHAnsi"/>
              </w:rPr>
            </w:pPr>
            <w:r w:rsidRPr="00B40537">
              <w:rPr>
                <w:rFonts w:asciiTheme="majorHAnsi" w:hAnsiTheme="majorHAnsi" w:cstheme="majorHAnsi"/>
              </w:rPr>
              <w:t xml:space="preserve">  Increase staff participation in oral care study days.</w:t>
            </w:r>
          </w:p>
        </w:tc>
      </w:tr>
      <w:tr w:rsidR="00E87D50" w:rsidRPr="00B40537" w14:paraId="3A62CBCE" w14:textId="77777777" w:rsidTr="00C34300">
        <w:trPr>
          <w:trHeight w:val="910"/>
        </w:trPr>
        <w:tc>
          <w:tcPr>
            <w:tcW w:w="2127" w:type="dxa"/>
            <w:tcBorders>
              <w:top w:val="single" w:sz="2" w:space="0" w:color="000000"/>
              <w:left w:val="single" w:sz="2" w:space="0" w:color="17428B"/>
              <w:bottom w:val="single" w:sz="2" w:space="0" w:color="17428B"/>
              <w:right w:val="single" w:sz="2" w:space="0" w:color="000000"/>
            </w:tcBorders>
          </w:tcPr>
          <w:p w14:paraId="09A77891" w14:textId="77777777" w:rsidR="00E87D50" w:rsidRPr="00B40537" w:rsidRDefault="00512EAE" w:rsidP="00C34300">
            <w:pPr>
              <w:spacing w:after="0" w:line="259" w:lineRule="auto"/>
              <w:rPr>
                <w:rFonts w:asciiTheme="majorHAnsi" w:hAnsiTheme="majorHAnsi" w:cstheme="majorHAnsi"/>
              </w:rPr>
            </w:pPr>
            <w:r w:rsidRPr="00B40537">
              <w:rPr>
                <w:rFonts w:asciiTheme="majorHAnsi" w:hAnsiTheme="majorHAnsi" w:cstheme="majorHAnsi"/>
              </w:rPr>
              <w:t xml:space="preserve">Patients’ </w:t>
            </w:r>
            <w:r w:rsidR="00E6442E" w:rsidRPr="00B40537">
              <w:rPr>
                <w:rFonts w:asciiTheme="majorHAnsi" w:hAnsiTheme="majorHAnsi" w:cstheme="majorHAnsi"/>
              </w:rPr>
              <w:t xml:space="preserve">Own </w:t>
            </w:r>
            <w:r w:rsidR="00735199" w:rsidRPr="00B40537">
              <w:rPr>
                <w:rFonts w:asciiTheme="majorHAnsi" w:hAnsiTheme="majorHAnsi" w:cstheme="majorHAnsi"/>
              </w:rPr>
              <w:t>Drug Storage (PODs)</w:t>
            </w:r>
          </w:p>
        </w:tc>
        <w:tc>
          <w:tcPr>
            <w:tcW w:w="2973" w:type="dxa"/>
            <w:tcBorders>
              <w:top w:val="single" w:sz="2" w:space="0" w:color="000000"/>
              <w:left w:val="single" w:sz="2" w:space="0" w:color="000000"/>
              <w:bottom w:val="single" w:sz="2" w:space="0" w:color="17428B"/>
              <w:right w:val="single" w:sz="2" w:space="0" w:color="17428B"/>
            </w:tcBorders>
          </w:tcPr>
          <w:p w14:paraId="78C90613"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PODs are generally functional but would benefit from more consistent daily upkeep.</w:t>
            </w:r>
          </w:p>
          <w:p w14:paraId="0107C2AF" w14:textId="1F03C149"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lastRenderedPageBreak/>
              <w:t>Some items found in PODs were not prescribed or being used rather were being stored.</w:t>
            </w:r>
          </w:p>
          <w:p w14:paraId="21C46208" w14:textId="77777777" w:rsidR="00735199" w:rsidRPr="00B40537" w:rsidRDefault="00735199" w:rsidP="00C34300">
            <w:pPr>
              <w:spacing w:after="0" w:line="259" w:lineRule="auto"/>
              <w:rPr>
                <w:rFonts w:asciiTheme="majorHAnsi" w:hAnsiTheme="majorHAnsi" w:cstheme="majorHAnsi"/>
              </w:rPr>
            </w:pPr>
          </w:p>
          <w:p w14:paraId="05F19810"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Most liquid medicines were managed appropriately, though a small number of opened bottles were not dated.</w:t>
            </w:r>
          </w:p>
        </w:tc>
        <w:tc>
          <w:tcPr>
            <w:tcW w:w="2463" w:type="dxa"/>
            <w:tcBorders>
              <w:top w:val="single" w:sz="2" w:space="0" w:color="000000"/>
              <w:left w:val="single" w:sz="2" w:space="0" w:color="17428B"/>
              <w:bottom w:val="single" w:sz="2" w:space="0" w:color="17428B"/>
              <w:right w:val="single" w:sz="2" w:space="0" w:color="17428B"/>
            </w:tcBorders>
          </w:tcPr>
          <w:p w14:paraId="206363E9"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lastRenderedPageBreak/>
              <w:t>Routine checks to ensure storage of drugs compliance.</w:t>
            </w:r>
          </w:p>
        </w:tc>
        <w:tc>
          <w:tcPr>
            <w:tcW w:w="2640" w:type="dxa"/>
            <w:tcBorders>
              <w:top w:val="single" w:sz="2" w:space="0" w:color="000000"/>
              <w:left w:val="single" w:sz="2" w:space="0" w:color="17428B"/>
              <w:bottom w:val="single" w:sz="2" w:space="0" w:color="17428B"/>
              <w:right w:val="single" w:sz="2" w:space="0" w:color="17428B"/>
            </w:tcBorders>
          </w:tcPr>
          <w:p w14:paraId="1FFCA56B"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To include in daily huddle and jobs allocation.</w:t>
            </w:r>
          </w:p>
        </w:tc>
      </w:tr>
      <w:tr w:rsidR="00E87D50" w:rsidRPr="00B40537" w14:paraId="2444BB3E" w14:textId="77777777" w:rsidTr="00C34300">
        <w:trPr>
          <w:trHeight w:val="728"/>
        </w:trPr>
        <w:tc>
          <w:tcPr>
            <w:tcW w:w="2127" w:type="dxa"/>
            <w:tcBorders>
              <w:top w:val="single" w:sz="2" w:space="0" w:color="000000"/>
              <w:left w:val="single" w:sz="2" w:space="0" w:color="17428B"/>
              <w:bottom w:val="single" w:sz="2" w:space="0" w:color="17428B"/>
              <w:right w:val="single" w:sz="2" w:space="0" w:color="000000"/>
            </w:tcBorders>
            <w:vAlign w:val="center"/>
          </w:tcPr>
          <w:p w14:paraId="7B317C6E"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 xml:space="preserve">Outreach service Documentation </w:t>
            </w:r>
          </w:p>
        </w:tc>
        <w:tc>
          <w:tcPr>
            <w:tcW w:w="2973" w:type="dxa"/>
            <w:tcBorders>
              <w:top w:val="single" w:sz="2" w:space="0" w:color="000000"/>
              <w:left w:val="single" w:sz="2" w:space="0" w:color="000000"/>
              <w:bottom w:val="single" w:sz="2" w:space="0" w:color="17428B"/>
              <w:right w:val="single" w:sz="2" w:space="0" w:color="17428B"/>
            </w:tcBorders>
          </w:tcPr>
          <w:p w14:paraId="347F8159"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Outreach documentation remains strong with only minor omissions.</w:t>
            </w:r>
          </w:p>
          <w:p w14:paraId="1A91F0B3" w14:textId="77777777" w:rsidR="00735199" w:rsidRPr="00B40537" w:rsidRDefault="00735199" w:rsidP="00C34300">
            <w:pPr>
              <w:spacing w:after="0" w:line="259" w:lineRule="auto"/>
              <w:rPr>
                <w:rFonts w:asciiTheme="majorHAnsi" w:hAnsiTheme="majorHAnsi" w:cstheme="majorHAnsi"/>
              </w:rPr>
            </w:pPr>
          </w:p>
          <w:p w14:paraId="6BCBD3CC"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Marked improvements since last quarter, with 100% completion for ethnicity, assessments, care plans, and patient/family involvement.</w:t>
            </w:r>
          </w:p>
          <w:p w14:paraId="058931F9" w14:textId="77777777" w:rsidR="00735199" w:rsidRPr="00B40537" w:rsidRDefault="00735199" w:rsidP="00C34300">
            <w:pPr>
              <w:spacing w:after="0" w:line="259" w:lineRule="auto"/>
              <w:rPr>
                <w:rFonts w:asciiTheme="majorHAnsi" w:hAnsiTheme="majorHAnsi" w:cstheme="majorHAnsi"/>
              </w:rPr>
            </w:pPr>
          </w:p>
          <w:p w14:paraId="7B4ED07B"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Increased presence of blue records in patients’ homes.</w:t>
            </w:r>
          </w:p>
          <w:p w14:paraId="19A0F346" w14:textId="77777777" w:rsidR="00735199" w:rsidRPr="00B40537" w:rsidRDefault="00735199" w:rsidP="00C34300">
            <w:pPr>
              <w:spacing w:after="0" w:line="259" w:lineRule="auto"/>
              <w:rPr>
                <w:rFonts w:asciiTheme="majorHAnsi" w:hAnsiTheme="majorHAnsi" w:cstheme="majorHAnsi"/>
              </w:rPr>
            </w:pPr>
          </w:p>
          <w:p w14:paraId="4EA1902E"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Some areas remain at 95% (Next of kin, allergy status, care plans) where 100% is expected.</w:t>
            </w:r>
          </w:p>
          <w:p w14:paraId="2725270E" w14:textId="77777777" w:rsidR="00735199" w:rsidRPr="00B40537" w:rsidRDefault="00735199" w:rsidP="00C34300">
            <w:pPr>
              <w:spacing w:after="0" w:line="259" w:lineRule="auto"/>
              <w:rPr>
                <w:rFonts w:asciiTheme="majorHAnsi" w:hAnsiTheme="majorHAnsi" w:cstheme="majorHAnsi"/>
              </w:rPr>
            </w:pPr>
          </w:p>
          <w:p w14:paraId="5757FE9B"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Current audit timing may limit full case review</w:t>
            </w:r>
          </w:p>
        </w:tc>
        <w:tc>
          <w:tcPr>
            <w:tcW w:w="2463" w:type="dxa"/>
            <w:tcBorders>
              <w:top w:val="single" w:sz="2" w:space="0" w:color="000000"/>
              <w:left w:val="single" w:sz="2" w:space="0" w:color="17428B"/>
              <w:bottom w:val="single" w:sz="2" w:space="0" w:color="17428B"/>
              <w:right w:val="single" w:sz="2" w:space="0" w:color="17428B"/>
            </w:tcBorders>
          </w:tcPr>
          <w:p w14:paraId="65CF54D3"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Reinforce the need for complete, accurate documentation and share results with the team.</w:t>
            </w:r>
          </w:p>
          <w:p w14:paraId="5DF61EA8" w14:textId="77777777" w:rsidR="00735199" w:rsidRPr="00B40537" w:rsidRDefault="00735199" w:rsidP="00C34300">
            <w:pPr>
              <w:spacing w:after="0" w:line="259" w:lineRule="auto"/>
              <w:rPr>
                <w:rFonts w:asciiTheme="majorHAnsi" w:hAnsiTheme="majorHAnsi" w:cstheme="majorHAnsi"/>
              </w:rPr>
            </w:pPr>
          </w:p>
          <w:p w14:paraId="46030479"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Raise consistently strong areas (95%) to 100% compliance.</w:t>
            </w:r>
          </w:p>
          <w:p w14:paraId="7CCF6FF1" w14:textId="77777777" w:rsidR="00735199" w:rsidRPr="00B40537" w:rsidRDefault="00735199" w:rsidP="00C34300">
            <w:pPr>
              <w:spacing w:after="0" w:line="259" w:lineRule="auto"/>
              <w:rPr>
                <w:rFonts w:asciiTheme="majorHAnsi" w:hAnsiTheme="majorHAnsi" w:cstheme="majorHAnsi"/>
              </w:rPr>
            </w:pPr>
          </w:p>
          <w:p w14:paraId="3D067686" w14:textId="77777777" w:rsidR="00735199"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Ensure all required documents and assessments are completed or uploaded.</w:t>
            </w:r>
          </w:p>
          <w:p w14:paraId="3BFDC3D4" w14:textId="77777777" w:rsidR="00735199" w:rsidRPr="00B40537" w:rsidRDefault="00735199" w:rsidP="00C34300">
            <w:pPr>
              <w:spacing w:after="0" w:line="259" w:lineRule="auto"/>
              <w:rPr>
                <w:rFonts w:asciiTheme="majorHAnsi" w:hAnsiTheme="majorHAnsi" w:cstheme="majorHAnsi"/>
              </w:rPr>
            </w:pPr>
          </w:p>
          <w:p w14:paraId="114E6AFE"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Reschedule future audits to enable more effective case review.</w:t>
            </w:r>
          </w:p>
        </w:tc>
        <w:tc>
          <w:tcPr>
            <w:tcW w:w="2640" w:type="dxa"/>
            <w:tcBorders>
              <w:top w:val="single" w:sz="2" w:space="0" w:color="000000"/>
              <w:left w:val="single" w:sz="2" w:space="0" w:color="17428B"/>
              <w:bottom w:val="single" w:sz="2" w:space="0" w:color="17428B"/>
              <w:right w:val="single" w:sz="2" w:space="0" w:color="17428B"/>
            </w:tcBorders>
          </w:tcPr>
          <w:p w14:paraId="086B56FD" w14:textId="77777777" w:rsidR="00E87D50" w:rsidRPr="00B40537" w:rsidRDefault="00735199" w:rsidP="00C34300">
            <w:pPr>
              <w:spacing w:after="0" w:line="259" w:lineRule="auto"/>
              <w:rPr>
                <w:rFonts w:asciiTheme="majorHAnsi" w:hAnsiTheme="majorHAnsi" w:cstheme="majorHAnsi"/>
              </w:rPr>
            </w:pPr>
            <w:r w:rsidRPr="00B40537">
              <w:rPr>
                <w:rFonts w:asciiTheme="majorHAnsi" w:hAnsiTheme="majorHAnsi" w:cstheme="majorHAnsi"/>
              </w:rPr>
              <w:t>Standardise assessment and which fields are mandatory for completion to address gaps.</w:t>
            </w:r>
          </w:p>
          <w:p w14:paraId="18F4CAAE" w14:textId="77777777" w:rsidR="006118A8" w:rsidRPr="00B40537" w:rsidRDefault="006118A8" w:rsidP="00C34300">
            <w:pPr>
              <w:spacing w:after="0" w:line="259" w:lineRule="auto"/>
              <w:rPr>
                <w:rFonts w:asciiTheme="majorHAnsi" w:hAnsiTheme="majorHAnsi" w:cstheme="majorHAnsi"/>
              </w:rPr>
            </w:pPr>
          </w:p>
          <w:p w14:paraId="0210337B" w14:textId="77777777" w:rsidR="006118A8" w:rsidRPr="00B40537" w:rsidRDefault="006118A8" w:rsidP="00C34300">
            <w:pPr>
              <w:spacing w:after="0" w:line="259" w:lineRule="auto"/>
              <w:rPr>
                <w:rFonts w:asciiTheme="majorHAnsi" w:hAnsiTheme="majorHAnsi" w:cstheme="majorHAnsi"/>
              </w:rPr>
            </w:pPr>
            <w:r w:rsidRPr="00B40537">
              <w:rPr>
                <w:rFonts w:asciiTheme="majorHAnsi" w:hAnsiTheme="majorHAnsi" w:cstheme="majorHAnsi"/>
              </w:rPr>
              <w:t>Move the audit so it aligns with a period where a fuller range of cases can be reviewed (e.g., mid-month or after all new starters complete induction), whilst avoiding peak clinical pressure periods.</w:t>
            </w:r>
          </w:p>
          <w:p w14:paraId="4293A6FD" w14:textId="77777777" w:rsidR="006118A8" w:rsidRPr="00B40537" w:rsidRDefault="006118A8" w:rsidP="00C34300">
            <w:pPr>
              <w:spacing w:after="0" w:line="259" w:lineRule="auto"/>
              <w:rPr>
                <w:rFonts w:asciiTheme="majorHAnsi" w:hAnsiTheme="majorHAnsi" w:cstheme="majorHAnsi"/>
              </w:rPr>
            </w:pPr>
          </w:p>
          <w:p w14:paraId="3579FF52" w14:textId="77777777" w:rsidR="006118A8" w:rsidRPr="00B40537" w:rsidRDefault="006118A8" w:rsidP="00C34300">
            <w:pPr>
              <w:spacing w:after="0" w:line="259" w:lineRule="auto"/>
              <w:rPr>
                <w:rFonts w:asciiTheme="majorHAnsi" w:hAnsiTheme="majorHAnsi" w:cstheme="majorHAnsi"/>
              </w:rPr>
            </w:pPr>
            <w:r w:rsidRPr="00B40537">
              <w:rPr>
                <w:rFonts w:asciiTheme="majorHAnsi" w:hAnsiTheme="majorHAnsi" w:cstheme="majorHAnsi"/>
              </w:rPr>
              <w:t>Clarify sample size and case mix for a balanced review.</w:t>
            </w:r>
          </w:p>
        </w:tc>
      </w:tr>
    </w:tbl>
    <w:p w14:paraId="73C97EE6" w14:textId="1F00F21D" w:rsidR="00E87D50" w:rsidRDefault="00E87D50" w:rsidP="00AD747A">
      <w:pPr>
        <w:spacing w:after="29"/>
        <w:ind w:right="144"/>
        <w:jc w:val="both"/>
        <w:rPr>
          <w:rFonts w:asciiTheme="majorHAnsi" w:eastAsia="Calibri" w:hAnsiTheme="majorHAnsi" w:cstheme="majorHAnsi"/>
          <w:b/>
          <w:sz w:val="24"/>
          <w:szCs w:val="24"/>
        </w:rPr>
      </w:pPr>
    </w:p>
    <w:p w14:paraId="02551735" w14:textId="3F20E07A" w:rsidR="00C34300" w:rsidRDefault="00C34300" w:rsidP="00AD747A">
      <w:pPr>
        <w:spacing w:after="29"/>
        <w:ind w:right="144"/>
        <w:jc w:val="both"/>
        <w:rPr>
          <w:rFonts w:asciiTheme="majorHAnsi" w:eastAsia="Calibri" w:hAnsiTheme="majorHAnsi" w:cstheme="majorHAnsi"/>
          <w:b/>
          <w:sz w:val="24"/>
          <w:szCs w:val="24"/>
        </w:rPr>
      </w:pPr>
    </w:p>
    <w:p w14:paraId="6B5070C6" w14:textId="5A69B848" w:rsidR="00C34300" w:rsidRDefault="00C34300" w:rsidP="00AD747A">
      <w:pPr>
        <w:spacing w:after="29"/>
        <w:ind w:right="144"/>
        <w:jc w:val="both"/>
        <w:rPr>
          <w:rFonts w:asciiTheme="majorHAnsi" w:eastAsia="Calibri" w:hAnsiTheme="majorHAnsi" w:cstheme="majorHAnsi"/>
          <w:b/>
          <w:sz w:val="24"/>
          <w:szCs w:val="24"/>
        </w:rPr>
      </w:pPr>
    </w:p>
    <w:p w14:paraId="24CF7BEC" w14:textId="1B809D81" w:rsidR="00C34300" w:rsidRDefault="00C34300" w:rsidP="00AD747A">
      <w:pPr>
        <w:spacing w:after="29"/>
        <w:ind w:right="144"/>
        <w:jc w:val="both"/>
        <w:rPr>
          <w:rFonts w:asciiTheme="majorHAnsi" w:eastAsia="Calibri" w:hAnsiTheme="majorHAnsi" w:cstheme="majorHAnsi"/>
          <w:b/>
          <w:sz w:val="24"/>
          <w:szCs w:val="24"/>
        </w:rPr>
      </w:pPr>
    </w:p>
    <w:p w14:paraId="3027172F" w14:textId="70F6D7C9" w:rsidR="00570D5D" w:rsidRDefault="00570D5D" w:rsidP="00AD747A">
      <w:pPr>
        <w:spacing w:after="29"/>
        <w:ind w:right="144"/>
        <w:jc w:val="both"/>
        <w:rPr>
          <w:rFonts w:asciiTheme="majorHAnsi" w:eastAsia="Calibri" w:hAnsiTheme="majorHAnsi" w:cstheme="majorHAnsi"/>
          <w:b/>
          <w:sz w:val="24"/>
          <w:szCs w:val="24"/>
        </w:rPr>
      </w:pPr>
    </w:p>
    <w:p w14:paraId="48C1216C" w14:textId="77777777" w:rsidR="00570D5D" w:rsidRDefault="00570D5D" w:rsidP="00AD747A">
      <w:pPr>
        <w:spacing w:after="29"/>
        <w:ind w:right="144"/>
        <w:jc w:val="both"/>
        <w:rPr>
          <w:rFonts w:asciiTheme="majorHAnsi" w:eastAsia="Calibri" w:hAnsiTheme="majorHAnsi" w:cstheme="majorHAnsi"/>
          <w:b/>
          <w:sz w:val="24"/>
          <w:szCs w:val="24"/>
        </w:rPr>
      </w:pPr>
      <w:bookmarkStart w:id="30" w:name="_GoBack"/>
      <w:bookmarkEnd w:id="30"/>
    </w:p>
    <w:p w14:paraId="24BC7A73" w14:textId="77777777" w:rsidR="00C34300" w:rsidRPr="00B40537" w:rsidRDefault="00C34300" w:rsidP="00AD747A">
      <w:pPr>
        <w:spacing w:after="29"/>
        <w:ind w:right="144"/>
        <w:jc w:val="both"/>
        <w:rPr>
          <w:rFonts w:asciiTheme="majorHAnsi" w:eastAsia="Calibri" w:hAnsiTheme="majorHAnsi" w:cstheme="majorHAnsi"/>
          <w:b/>
          <w:sz w:val="24"/>
          <w:szCs w:val="24"/>
        </w:rPr>
      </w:pPr>
    </w:p>
    <w:p w14:paraId="14164601" w14:textId="5F16C983" w:rsidR="00512EAE" w:rsidRPr="00B40537" w:rsidRDefault="00D01948" w:rsidP="00C34300">
      <w:pPr>
        <w:pStyle w:val="MainLevel"/>
        <w:rPr>
          <w:bCs/>
          <w:sz w:val="24"/>
          <w:szCs w:val="24"/>
        </w:rPr>
      </w:pPr>
      <w:bookmarkStart w:id="31" w:name="_Toc216792800"/>
      <w:r w:rsidRPr="00B40537">
        <w:lastRenderedPageBreak/>
        <w:t>Research (</w:t>
      </w:r>
      <w:r w:rsidR="00B603D6" w:rsidRPr="00B40537">
        <w:t>MANDATORY STATEMENT</w:t>
      </w:r>
      <w:r w:rsidRPr="00B40537">
        <w:t>)</w:t>
      </w:r>
      <w:bookmarkEnd w:id="31"/>
      <w:r w:rsidR="00B603D6" w:rsidRPr="00B40537">
        <w:t xml:space="preserve"> </w:t>
      </w:r>
      <w:r w:rsidR="00B603D6" w:rsidRPr="00B40537">
        <w:rPr>
          <w:bCs/>
          <w:sz w:val="24"/>
          <w:szCs w:val="24"/>
        </w:rPr>
        <w:t xml:space="preserve"> </w:t>
      </w:r>
    </w:p>
    <w:p w14:paraId="35883F00" w14:textId="77777777" w:rsidR="00DA1EBC" w:rsidRPr="00B40537" w:rsidRDefault="00084DF4" w:rsidP="00AD747A">
      <w:pPr>
        <w:spacing w:after="29"/>
        <w:ind w:right="144"/>
        <w:jc w:val="both"/>
        <w:rPr>
          <w:rFonts w:asciiTheme="majorHAnsi" w:eastAsia="Calibri" w:hAnsiTheme="majorHAnsi" w:cstheme="majorHAnsi"/>
          <w:b/>
          <w:sz w:val="24"/>
          <w:szCs w:val="24"/>
        </w:rPr>
      </w:pPr>
      <w:r w:rsidRPr="00B40537">
        <w:rPr>
          <w:rFonts w:asciiTheme="majorHAnsi" w:eastAsia="Calibri" w:hAnsiTheme="majorHAnsi" w:cstheme="majorHAnsi"/>
          <w:bCs/>
          <w:sz w:val="24"/>
          <w:szCs w:val="24"/>
        </w:rPr>
        <w:t xml:space="preserve">The Consultant in Palliative Medicine, who is employed by the local NHS Trust and works at the hospice, has been recruiting patients from the Bury locality to participate in pseudonymised, research-ethics-approved studies. This includes patients under the care of the hospice during 2024–2025, with a total of 65 patients recruited from across Bury locality to date. </w:t>
      </w:r>
    </w:p>
    <w:p w14:paraId="46E5A40A" w14:textId="77777777" w:rsidR="00DA1EBC" w:rsidRPr="00B40537" w:rsidRDefault="00DA1EBC" w:rsidP="00AD747A">
      <w:pPr>
        <w:spacing w:after="29"/>
        <w:ind w:right="144"/>
        <w:jc w:val="both"/>
        <w:rPr>
          <w:rFonts w:asciiTheme="majorHAnsi" w:eastAsia="Calibri" w:hAnsiTheme="majorHAnsi" w:cstheme="majorHAnsi"/>
          <w:b/>
          <w:sz w:val="24"/>
          <w:szCs w:val="24"/>
        </w:rPr>
      </w:pPr>
    </w:p>
    <w:p w14:paraId="72D2E095" w14:textId="77777777" w:rsidR="00E87D50" w:rsidRPr="00B40537" w:rsidRDefault="00B603D6" w:rsidP="00C34300">
      <w:pPr>
        <w:pStyle w:val="Level1"/>
        <w:outlineLvl w:val="1"/>
      </w:pPr>
      <w:bookmarkStart w:id="32" w:name="_Toc216792801"/>
      <w:r w:rsidRPr="00B40537">
        <w:t>National Audits</w:t>
      </w:r>
      <w:bookmarkEnd w:id="32"/>
    </w:p>
    <w:p w14:paraId="1EFEA2E0" w14:textId="77777777" w:rsidR="00E87D50" w:rsidRPr="00B40537" w:rsidRDefault="00B603D6" w:rsidP="00AD747A">
      <w:pPr>
        <w:spacing w:after="29"/>
        <w:ind w:left="10" w:right="144"/>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Each year Bury Hospice participates in the Hospice UK Data Request for Clinical Activity Demographic Data and Workforce survey. All members of Hospice UK are encouraged to participate to provide Hospice UK with meaningful and robust data to evidence the vital work going on in hospices at a local and national level.</w:t>
      </w:r>
    </w:p>
    <w:p w14:paraId="0D4D43D5" w14:textId="04CB4881" w:rsidR="005A7EEC" w:rsidRPr="00B40537" w:rsidRDefault="005A7EEC" w:rsidP="00C34300">
      <w:pPr>
        <w:spacing w:after="29"/>
        <w:ind w:right="144"/>
        <w:jc w:val="both"/>
        <w:rPr>
          <w:rFonts w:asciiTheme="majorHAnsi" w:eastAsia="Calibri" w:hAnsiTheme="majorHAnsi" w:cstheme="majorHAnsi"/>
          <w:b/>
          <w:bCs/>
          <w:color w:val="403152" w:themeColor="accent4" w:themeShade="80"/>
          <w:sz w:val="28"/>
          <w:szCs w:val="28"/>
          <w:u w:val="single"/>
        </w:rPr>
      </w:pPr>
    </w:p>
    <w:p w14:paraId="635F82A4" w14:textId="2411FD79" w:rsidR="00C34300" w:rsidRDefault="00D01948" w:rsidP="00C34300">
      <w:pPr>
        <w:pStyle w:val="MainLevel"/>
        <w:rPr>
          <w:sz w:val="24"/>
          <w:szCs w:val="24"/>
        </w:rPr>
      </w:pPr>
      <w:bookmarkStart w:id="33" w:name="_Toc216792802"/>
      <w:r w:rsidRPr="00B40537">
        <w:t>Use of the CQUIN Payment Framework (</w:t>
      </w:r>
      <w:r w:rsidR="00B603D6" w:rsidRPr="00B40537">
        <w:t>MANDATORY STATEMENT</w:t>
      </w:r>
      <w:r w:rsidRPr="00B40537">
        <w:t>)</w:t>
      </w:r>
      <w:bookmarkEnd w:id="33"/>
      <w:r w:rsidR="00B603D6" w:rsidRPr="00B40537">
        <w:t xml:space="preserve"> </w:t>
      </w:r>
    </w:p>
    <w:p w14:paraId="682FFDCB" w14:textId="7CE0D2BF" w:rsidR="00E87D50" w:rsidRPr="00B40537" w:rsidRDefault="00B603D6" w:rsidP="00AD747A">
      <w:pPr>
        <w:spacing w:after="29"/>
        <w:ind w:left="10" w:right="144"/>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In 2024 /2025 the Hospice was not subject to any CQUIN payment schemes. </w:t>
      </w:r>
    </w:p>
    <w:p w14:paraId="14285686" w14:textId="77777777" w:rsidR="00E87D50" w:rsidRPr="00B40537" w:rsidRDefault="00B603D6" w:rsidP="00AD747A">
      <w:pPr>
        <w:spacing w:after="29"/>
        <w:ind w:left="10" w:right="144"/>
        <w:jc w:val="both"/>
        <w:rPr>
          <w:rFonts w:asciiTheme="majorHAnsi" w:eastAsia="Calibri" w:hAnsiTheme="majorHAnsi" w:cstheme="majorHAnsi"/>
          <w:b/>
          <w:sz w:val="24"/>
          <w:szCs w:val="24"/>
        </w:rPr>
      </w:pPr>
      <w:r w:rsidRPr="00B40537">
        <w:rPr>
          <w:rFonts w:asciiTheme="majorHAnsi" w:eastAsia="Calibri" w:hAnsiTheme="majorHAnsi" w:cstheme="majorHAnsi"/>
          <w:b/>
          <w:sz w:val="24"/>
          <w:szCs w:val="24"/>
        </w:rPr>
        <w:t xml:space="preserve"> </w:t>
      </w:r>
    </w:p>
    <w:p w14:paraId="6E9B79EC" w14:textId="77777777" w:rsidR="00C34300" w:rsidRDefault="00D01948" w:rsidP="00C34300">
      <w:pPr>
        <w:pStyle w:val="MainLevel"/>
        <w:rPr>
          <w:sz w:val="24"/>
          <w:szCs w:val="24"/>
        </w:rPr>
      </w:pPr>
      <w:bookmarkStart w:id="34" w:name="_Toc216792803"/>
      <w:r w:rsidRPr="00B40537">
        <w:t>Secondary Users Service (</w:t>
      </w:r>
      <w:r w:rsidR="00B603D6" w:rsidRPr="00B40537">
        <w:t>MANDATORY STATEMENT</w:t>
      </w:r>
      <w:r w:rsidRPr="00B40537">
        <w:t>)</w:t>
      </w:r>
      <w:r w:rsidR="00B603D6" w:rsidRPr="00B40537">
        <w:rPr>
          <w:sz w:val="24"/>
          <w:szCs w:val="24"/>
        </w:rPr>
        <w:t xml:space="preserve"> –</w:t>
      </w:r>
      <w:bookmarkEnd w:id="34"/>
      <w:r w:rsidR="00B603D6" w:rsidRPr="00B40537">
        <w:rPr>
          <w:sz w:val="24"/>
          <w:szCs w:val="24"/>
        </w:rPr>
        <w:t xml:space="preserve"> </w:t>
      </w:r>
    </w:p>
    <w:p w14:paraId="6A8C1D3B" w14:textId="39257F90" w:rsidR="00E87D50" w:rsidRPr="00B40537" w:rsidRDefault="00B603D6" w:rsidP="00AD747A">
      <w:pPr>
        <w:spacing w:after="29"/>
        <w:ind w:left="10" w:right="144"/>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 xml:space="preserve">Bury Hospice did not submit records during 2024 /2025 to the Secondary Users Service for inclusion in the Hospital Episode Statistics which are included in the latest published data. </w:t>
      </w:r>
    </w:p>
    <w:p w14:paraId="1C4A5660" w14:textId="77777777" w:rsidR="00E87D50" w:rsidRPr="00B40537" w:rsidRDefault="00E87D50" w:rsidP="00AD747A">
      <w:pPr>
        <w:spacing w:after="29"/>
        <w:ind w:left="10" w:right="144"/>
        <w:jc w:val="both"/>
        <w:rPr>
          <w:rFonts w:asciiTheme="majorHAnsi" w:eastAsia="Calibri" w:hAnsiTheme="majorHAnsi" w:cstheme="majorHAnsi"/>
          <w:bCs/>
          <w:sz w:val="24"/>
          <w:szCs w:val="24"/>
        </w:rPr>
      </w:pPr>
    </w:p>
    <w:p w14:paraId="6BA7E3B7" w14:textId="77777777" w:rsidR="00C34300" w:rsidRDefault="00D01948" w:rsidP="00C34300">
      <w:pPr>
        <w:pStyle w:val="MainLevel"/>
        <w:rPr>
          <w:sz w:val="24"/>
          <w:szCs w:val="24"/>
        </w:rPr>
      </w:pPr>
      <w:bookmarkStart w:id="35" w:name="_Toc216792804"/>
      <w:r w:rsidRPr="00B40537">
        <w:rPr>
          <w:bCs/>
          <w:color w:val="403152" w:themeColor="accent4" w:themeShade="80"/>
        </w:rPr>
        <w:t xml:space="preserve">Clinical Coding Audit </w:t>
      </w:r>
      <w:r w:rsidRPr="00B40537">
        <w:rPr>
          <w:bCs/>
        </w:rPr>
        <w:t>(</w:t>
      </w:r>
      <w:r w:rsidR="00B603D6" w:rsidRPr="00B40537">
        <w:t>MANDATORY STATEMENT</w:t>
      </w:r>
      <w:r w:rsidRPr="00B40537">
        <w:t>)</w:t>
      </w:r>
      <w:r w:rsidR="00B603D6" w:rsidRPr="00B40537">
        <w:rPr>
          <w:sz w:val="24"/>
          <w:szCs w:val="24"/>
        </w:rPr>
        <w:t xml:space="preserve"> –</w:t>
      </w:r>
      <w:bookmarkEnd w:id="35"/>
      <w:r w:rsidR="00B603D6" w:rsidRPr="00B40537">
        <w:rPr>
          <w:sz w:val="24"/>
          <w:szCs w:val="24"/>
        </w:rPr>
        <w:t xml:space="preserve"> </w:t>
      </w:r>
    </w:p>
    <w:p w14:paraId="6AE0509A" w14:textId="2656D14B" w:rsidR="00E87D50" w:rsidRPr="00B40537" w:rsidRDefault="00B603D6" w:rsidP="00AD747A">
      <w:pPr>
        <w:spacing w:after="29"/>
        <w:ind w:right="144"/>
        <w:jc w:val="both"/>
        <w:rPr>
          <w:rFonts w:asciiTheme="majorHAnsi" w:eastAsia="Calibri" w:hAnsiTheme="majorHAnsi" w:cstheme="majorHAnsi"/>
          <w:bCs/>
          <w:sz w:val="24"/>
          <w:szCs w:val="24"/>
        </w:rPr>
      </w:pPr>
      <w:r w:rsidRPr="00B40537">
        <w:rPr>
          <w:rFonts w:asciiTheme="majorHAnsi" w:eastAsia="Calibri" w:hAnsiTheme="majorHAnsi" w:cstheme="majorHAnsi"/>
          <w:bCs/>
          <w:sz w:val="24"/>
          <w:szCs w:val="24"/>
        </w:rPr>
        <w:t>Bury Hospice was not subject to the payment by results clinical coding audit during 2024-2025.</w:t>
      </w:r>
    </w:p>
    <w:p w14:paraId="05AAD84F" w14:textId="77777777" w:rsidR="00C34300" w:rsidRDefault="00C34300" w:rsidP="00C34300">
      <w:pPr>
        <w:pStyle w:val="FrameContents"/>
      </w:pPr>
    </w:p>
    <w:p w14:paraId="77D96206" w14:textId="77777777" w:rsidR="00C34300" w:rsidRDefault="00C34300" w:rsidP="00C34300">
      <w:pPr>
        <w:pStyle w:val="FrameContents"/>
      </w:pPr>
    </w:p>
    <w:p w14:paraId="493D541E" w14:textId="77777777" w:rsidR="00C34300" w:rsidRDefault="00C34300" w:rsidP="00C34300">
      <w:pPr>
        <w:pStyle w:val="FrameContents"/>
      </w:pPr>
    </w:p>
    <w:p w14:paraId="10231068" w14:textId="77777777" w:rsidR="00C34300" w:rsidRDefault="00C34300" w:rsidP="00C34300">
      <w:pPr>
        <w:pStyle w:val="FrameContents"/>
      </w:pPr>
    </w:p>
    <w:p w14:paraId="031B5A27" w14:textId="77777777" w:rsidR="00C34300" w:rsidRDefault="00C34300" w:rsidP="00C34300">
      <w:pPr>
        <w:pStyle w:val="FrameContents"/>
      </w:pPr>
    </w:p>
    <w:p w14:paraId="2F8C6FC9" w14:textId="58E20295" w:rsidR="00C34300" w:rsidRDefault="00C34300" w:rsidP="00C34300">
      <w:pPr>
        <w:pStyle w:val="MainLevel"/>
        <w:rPr>
          <w:rFonts w:asciiTheme="minorHAnsi" w:eastAsiaTheme="minorEastAsia" w:hAnsiTheme="minorHAnsi" w:cstheme="minorBidi"/>
          <w:b w:val="0"/>
          <w:color w:val="auto"/>
          <w:sz w:val="22"/>
          <w:szCs w:val="22"/>
          <w:u w:val="none"/>
        </w:rPr>
      </w:pPr>
    </w:p>
    <w:p w14:paraId="7189FC0C" w14:textId="77777777" w:rsidR="00C34300" w:rsidRDefault="00C34300" w:rsidP="00C34300">
      <w:pPr>
        <w:pStyle w:val="FrameContents"/>
      </w:pPr>
    </w:p>
    <w:p w14:paraId="338D9B17" w14:textId="22DDE7C3" w:rsidR="00E87D50" w:rsidRPr="00C34300" w:rsidRDefault="00B603D6" w:rsidP="00C34300">
      <w:pPr>
        <w:pStyle w:val="MainLevel"/>
        <w:rPr>
          <w:rFonts w:eastAsiaTheme="minorEastAsia"/>
        </w:rPr>
      </w:pPr>
      <w:bookmarkStart w:id="36" w:name="_Toc216792805"/>
      <w:r w:rsidRPr="00B40537">
        <w:lastRenderedPageBreak/>
        <w:t>IT, Data and Cyber Security</w:t>
      </w:r>
      <w:bookmarkEnd w:id="36"/>
      <w:r w:rsidRPr="00B40537">
        <w:t xml:space="preserve"> </w:t>
      </w:r>
    </w:p>
    <w:p w14:paraId="5A83852A" w14:textId="676C3DC9" w:rsidR="00D01948" w:rsidRPr="00B40537" w:rsidRDefault="002031F8" w:rsidP="00AD747A">
      <w:pPr>
        <w:jc w:val="both"/>
        <w:rPr>
          <w:rFonts w:asciiTheme="majorHAnsi" w:hAnsiTheme="majorHAnsi" w:cstheme="majorHAnsi"/>
        </w:rPr>
      </w:pPr>
      <w:r w:rsidRPr="00B40537">
        <w:rPr>
          <w:rFonts w:asciiTheme="majorHAnsi" w:hAnsiTheme="majorHAnsi" w:cstheme="majorHAnsi"/>
        </w:rPr>
        <w:t>In</w:t>
      </w:r>
      <w:r w:rsidR="00D01948" w:rsidRPr="00B40537">
        <w:rPr>
          <w:rFonts w:asciiTheme="majorHAnsi" w:hAnsiTheme="majorHAnsi" w:cstheme="majorHAnsi"/>
        </w:rPr>
        <w:t xml:space="preserve"> 2024/2025 Bury </w:t>
      </w:r>
      <w:r w:rsidRPr="00B40537">
        <w:rPr>
          <w:rFonts w:asciiTheme="majorHAnsi" w:hAnsiTheme="majorHAnsi" w:cstheme="majorHAnsi"/>
        </w:rPr>
        <w:t>Hospice</w:t>
      </w:r>
      <w:r w:rsidR="00D01948" w:rsidRPr="00B40537">
        <w:rPr>
          <w:rFonts w:asciiTheme="majorHAnsi" w:hAnsiTheme="majorHAnsi" w:cstheme="majorHAnsi"/>
        </w:rPr>
        <w:t xml:space="preserve"> made great strides in the planning and initiation of our</w:t>
      </w:r>
      <w:r w:rsidRPr="00B40537">
        <w:rPr>
          <w:rFonts w:asciiTheme="majorHAnsi" w:hAnsiTheme="majorHAnsi" w:cstheme="majorHAnsi"/>
        </w:rPr>
        <w:t xml:space="preserve"> continuing</w:t>
      </w:r>
      <w:r w:rsidR="00D01948" w:rsidRPr="00B40537">
        <w:rPr>
          <w:rFonts w:asciiTheme="majorHAnsi" w:hAnsiTheme="majorHAnsi" w:cstheme="majorHAnsi"/>
        </w:rPr>
        <w:t xml:space="preserve"> Digital Transformation Project.  The project </w:t>
      </w:r>
      <w:r w:rsidRPr="00B40537">
        <w:rPr>
          <w:rFonts w:asciiTheme="majorHAnsi" w:hAnsiTheme="majorHAnsi" w:cstheme="majorHAnsi"/>
        </w:rPr>
        <w:t xml:space="preserve">initiated in 2023 </w:t>
      </w:r>
      <w:r w:rsidR="00D01948" w:rsidRPr="00B40537">
        <w:rPr>
          <w:rFonts w:asciiTheme="majorHAnsi" w:hAnsiTheme="majorHAnsi" w:cstheme="majorHAnsi"/>
        </w:rPr>
        <w:t>wa</w:t>
      </w:r>
      <w:r w:rsidRPr="00B40537">
        <w:rPr>
          <w:rFonts w:asciiTheme="majorHAnsi" w:hAnsiTheme="majorHAnsi" w:cstheme="majorHAnsi"/>
        </w:rPr>
        <w:t xml:space="preserve">s designed to progress over a 3-4 </w:t>
      </w:r>
      <w:r w:rsidR="00D01948" w:rsidRPr="00B40537">
        <w:rPr>
          <w:rFonts w:asciiTheme="majorHAnsi" w:hAnsiTheme="majorHAnsi" w:cstheme="majorHAnsi"/>
        </w:rPr>
        <w:t>year period</w:t>
      </w:r>
      <w:r w:rsidR="004C5677" w:rsidRPr="00B40537">
        <w:rPr>
          <w:rFonts w:asciiTheme="majorHAnsi" w:hAnsiTheme="majorHAnsi" w:cstheme="majorHAnsi"/>
        </w:rPr>
        <w:t xml:space="preserve"> to im</w:t>
      </w:r>
      <w:r w:rsidRPr="00B40537">
        <w:rPr>
          <w:rFonts w:asciiTheme="majorHAnsi" w:hAnsiTheme="majorHAnsi" w:cstheme="majorHAnsi"/>
        </w:rPr>
        <w:t>prove the Digital infrastructure in our C</w:t>
      </w:r>
      <w:r w:rsidR="004C5677" w:rsidRPr="00B40537">
        <w:rPr>
          <w:rFonts w:asciiTheme="majorHAnsi" w:hAnsiTheme="majorHAnsi" w:cstheme="majorHAnsi"/>
        </w:rPr>
        <w:t xml:space="preserve">linical, Operations and Income </w:t>
      </w:r>
      <w:r w:rsidRPr="00B40537">
        <w:rPr>
          <w:rFonts w:asciiTheme="majorHAnsi" w:hAnsiTheme="majorHAnsi" w:cstheme="majorHAnsi"/>
        </w:rPr>
        <w:t xml:space="preserve">Generation divisions to not only enable efficiencies </w:t>
      </w:r>
      <w:r w:rsidR="00D01948" w:rsidRPr="00B40537">
        <w:rPr>
          <w:rFonts w:asciiTheme="majorHAnsi" w:hAnsiTheme="majorHAnsi" w:cstheme="majorHAnsi"/>
        </w:rPr>
        <w:t>and</w:t>
      </w:r>
      <w:r w:rsidRPr="00B40537">
        <w:rPr>
          <w:rFonts w:asciiTheme="majorHAnsi" w:hAnsiTheme="majorHAnsi" w:cstheme="majorHAnsi"/>
        </w:rPr>
        <w:t xml:space="preserve"> cost savings, but to </w:t>
      </w:r>
      <w:r w:rsidR="008506EE" w:rsidRPr="00B40537">
        <w:rPr>
          <w:rFonts w:asciiTheme="majorHAnsi" w:hAnsiTheme="majorHAnsi" w:cstheme="majorHAnsi"/>
        </w:rPr>
        <w:t>facilitate the growth of our organisation.</w:t>
      </w:r>
    </w:p>
    <w:p w14:paraId="029884DD" w14:textId="3E8B2D06" w:rsidR="00DA1EBC" w:rsidRPr="00B40537" w:rsidRDefault="00C34300" w:rsidP="00AD747A">
      <w:pPr>
        <w:jc w:val="both"/>
        <w:rPr>
          <w:rFonts w:asciiTheme="majorHAnsi" w:hAnsiTheme="majorHAnsi" w:cstheme="majorHAnsi"/>
        </w:rPr>
      </w:pPr>
      <w:r w:rsidRPr="00B40537">
        <w:rPr>
          <w:rFonts w:asciiTheme="majorHAnsi" w:hAnsiTheme="majorHAnsi" w:cstheme="majorHAnsi"/>
          <w:noProof/>
          <w:lang w:val="en-GB" w:eastAsia="en-GB"/>
        </w:rPr>
        <w:drawing>
          <wp:anchor distT="0" distB="0" distL="114300" distR="114300" simplePos="0" relativeHeight="251667456" behindDoc="0" locked="0" layoutInCell="1" allowOverlap="1" wp14:anchorId="65E15946" wp14:editId="5DCE4B9A">
            <wp:simplePos x="0" y="0"/>
            <wp:positionH relativeFrom="margin">
              <wp:posOffset>172720</wp:posOffset>
            </wp:positionH>
            <wp:positionV relativeFrom="paragraph">
              <wp:posOffset>206375</wp:posOffset>
            </wp:positionV>
            <wp:extent cx="5986780" cy="5120640"/>
            <wp:effectExtent l="19050" t="19050" r="13970" b="2286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t="2380" r="1010" b="1782"/>
                    <a:stretch/>
                  </pic:blipFill>
                  <pic:spPr bwMode="auto">
                    <a:xfrm>
                      <a:off x="0" y="0"/>
                      <a:ext cx="5986780" cy="51206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EA046A" w14:textId="3E1A375B" w:rsidR="00512EAE" w:rsidRPr="00B40537" w:rsidRDefault="00512EAE">
      <w:pPr>
        <w:rPr>
          <w:rFonts w:asciiTheme="majorHAnsi" w:hAnsiTheme="majorHAnsi" w:cstheme="majorHAnsi"/>
          <w:b/>
          <w:bCs/>
          <w:color w:val="1F497D" w:themeColor="text2"/>
          <w:sz w:val="28"/>
          <w:szCs w:val="28"/>
        </w:rPr>
      </w:pPr>
    </w:p>
    <w:p w14:paraId="0661C445" w14:textId="77777777" w:rsidR="00C34300" w:rsidRDefault="00D01948" w:rsidP="00C34300">
      <w:pPr>
        <w:pStyle w:val="Level1"/>
        <w:outlineLvl w:val="1"/>
      </w:pPr>
      <w:bookmarkStart w:id="37" w:name="_Toc216792806"/>
      <w:r w:rsidRPr="00B40537">
        <w:t>The Data Security and Protection Toolkit (DSPT) (</w:t>
      </w:r>
      <w:r w:rsidR="00B603D6" w:rsidRPr="00B40537">
        <w:t>MANDATORY STATEMENT</w:t>
      </w:r>
      <w:r w:rsidRPr="00B40537">
        <w:t>)</w:t>
      </w:r>
      <w:bookmarkEnd w:id="37"/>
      <w:r w:rsidR="00B603D6" w:rsidRPr="00B40537">
        <w:t xml:space="preserve"> </w:t>
      </w:r>
    </w:p>
    <w:p w14:paraId="2EB856F0" w14:textId="472C37B4" w:rsidR="00E87D50"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Bury Hospice achieved compliance across all mandatory areas of the DSPT in 2024-2025. </w:t>
      </w:r>
    </w:p>
    <w:p w14:paraId="70EBF58C" w14:textId="77777777" w:rsidR="008506EE" w:rsidRPr="00B40537" w:rsidRDefault="00B603D6" w:rsidP="00AD747A">
      <w:pPr>
        <w:jc w:val="both"/>
        <w:rPr>
          <w:rFonts w:asciiTheme="majorHAnsi" w:hAnsiTheme="majorHAnsi" w:cstheme="majorHAnsi"/>
          <w:sz w:val="24"/>
          <w:szCs w:val="24"/>
        </w:rPr>
      </w:pPr>
      <w:r w:rsidRPr="00B40537">
        <w:rPr>
          <w:rFonts w:asciiTheme="majorHAnsi" w:hAnsiTheme="majorHAnsi" w:cstheme="majorHAnsi"/>
          <w:sz w:val="24"/>
          <w:szCs w:val="24"/>
        </w:rPr>
        <w:t xml:space="preserve">The NHS Data Security and Protection Toolkit is an annual online self-assessment tool which enables the Hospice to measure and publish its security performance against the National Data Guardian’s and NHS </w:t>
      </w:r>
      <w:r w:rsidRPr="00B40537">
        <w:rPr>
          <w:rFonts w:asciiTheme="majorHAnsi" w:hAnsiTheme="majorHAnsi" w:cstheme="majorHAnsi"/>
          <w:sz w:val="24"/>
          <w:szCs w:val="24"/>
        </w:rPr>
        <w:lastRenderedPageBreak/>
        <w:t xml:space="preserve">Data Security standards. The completion of the toolkit confirms that the Hospice has the correct level of data security to maintain the </w:t>
      </w:r>
    </w:p>
    <w:p w14:paraId="2737FD30" w14:textId="77777777" w:rsidR="00512EAE" w:rsidRPr="00B40537" w:rsidRDefault="008506EE" w:rsidP="00C34300">
      <w:pPr>
        <w:pStyle w:val="Level1"/>
        <w:outlineLvl w:val="1"/>
      </w:pPr>
      <w:bookmarkStart w:id="38" w:name="_Toc216792807"/>
      <w:r w:rsidRPr="00B40537">
        <w:t xml:space="preserve">Significant achievements </w:t>
      </w:r>
      <w:r w:rsidR="00F14F5F" w:rsidRPr="00B40537">
        <w:t xml:space="preserve">in IT, Data and Security </w:t>
      </w:r>
      <w:r w:rsidRPr="00B40537">
        <w:t>this year include:</w:t>
      </w:r>
      <w:bookmarkEnd w:id="38"/>
    </w:p>
    <w:p w14:paraId="29F8E1B2" w14:textId="77777777" w:rsidR="00DA1EBC" w:rsidRPr="00B40537" w:rsidRDefault="008506EE" w:rsidP="00AD747A">
      <w:pPr>
        <w:pStyle w:val="ListParagraph"/>
        <w:numPr>
          <w:ilvl w:val="0"/>
          <w:numId w:val="14"/>
        </w:numPr>
        <w:jc w:val="both"/>
        <w:rPr>
          <w:rFonts w:asciiTheme="majorHAnsi" w:hAnsiTheme="majorHAnsi" w:cstheme="majorHAnsi"/>
          <w:sz w:val="24"/>
          <w:szCs w:val="24"/>
        </w:rPr>
      </w:pPr>
      <w:r w:rsidRPr="00B40537">
        <w:rPr>
          <w:rFonts w:asciiTheme="majorHAnsi" w:hAnsiTheme="majorHAnsi" w:cstheme="majorHAnsi"/>
          <w:sz w:val="24"/>
          <w:szCs w:val="24"/>
        </w:rPr>
        <w:t xml:space="preserve">Full electronic medical records across all our clinical areas </w:t>
      </w:r>
    </w:p>
    <w:p w14:paraId="4BF7398A" w14:textId="77777777" w:rsidR="008506EE" w:rsidRPr="00B40537" w:rsidRDefault="008506EE" w:rsidP="00AD747A">
      <w:pPr>
        <w:pStyle w:val="ListParagraph"/>
        <w:numPr>
          <w:ilvl w:val="0"/>
          <w:numId w:val="14"/>
        </w:numPr>
        <w:jc w:val="both"/>
        <w:rPr>
          <w:rFonts w:asciiTheme="majorHAnsi" w:hAnsiTheme="majorHAnsi" w:cstheme="majorHAnsi"/>
          <w:sz w:val="24"/>
          <w:szCs w:val="24"/>
        </w:rPr>
      </w:pPr>
      <w:r w:rsidRPr="00B40537">
        <w:rPr>
          <w:rFonts w:asciiTheme="majorHAnsi" w:hAnsiTheme="majorHAnsi" w:cstheme="majorHAnsi"/>
          <w:sz w:val="24"/>
          <w:szCs w:val="24"/>
        </w:rPr>
        <w:t xml:space="preserve">Enhanced Data collection and improved incident reporting </w:t>
      </w:r>
    </w:p>
    <w:p w14:paraId="66672EBC" w14:textId="77777777" w:rsidR="008506EE" w:rsidRPr="00B40537" w:rsidRDefault="008506EE" w:rsidP="00AD747A">
      <w:pPr>
        <w:pStyle w:val="ListParagraph"/>
        <w:numPr>
          <w:ilvl w:val="0"/>
          <w:numId w:val="14"/>
        </w:numPr>
        <w:jc w:val="both"/>
        <w:rPr>
          <w:rFonts w:asciiTheme="majorHAnsi" w:hAnsiTheme="majorHAnsi" w:cstheme="majorHAnsi"/>
          <w:sz w:val="24"/>
          <w:szCs w:val="24"/>
        </w:rPr>
      </w:pPr>
      <w:r w:rsidRPr="00B40537">
        <w:rPr>
          <w:rFonts w:asciiTheme="majorHAnsi" w:hAnsiTheme="majorHAnsi" w:cstheme="majorHAnsi"/>
          <w:sz w:val="24"/>
          <w:szCs w:val="24"/>
        </w:rPr>
        <w:t>Migration of paper personnel records to a digital HR management system</w:t>
      </w:r>
    </w:p>
    <w:p w14:paraId="1F78C6B4" w14:textId="77777777" w:rsidR="008506EE" w:rsidRPr="00B40537" w:rsidRDefault="008506EE" w:rsidP="00AD747A">
      <w:pPr>
        <w:pStyle w:val="ListParagraph"/>
        <w:numPr>
          <w:ilvl w:val="0"/>
          <w:numId w:val="14"/>
        </w:numPr>
        <w:jc w:val="both"/>
        <w:rPr>
          <w:rFonts w:asciiTheme="majorHAnsi" w:hAnsiTheme="majorHAnsi" w:cstheme="majorHAnsi"/>
          <w:sz w:val="24"/>
          <w:szCs w:val="24"/>
        </w:rPr>
      </w:pPr>
      <w:r w:rsidRPr="00B40537">
        <w:rPr>
          <w:rFonts w:asciiTheme="majorHAnsi" w:hAnsiTheme="majorHAnsi" w:cstheme="majorHAnsi"/>
          <w:sz w:val="24"/>
          <w:szCs w:val="24"/>
        </w:rPr>
        <w:t>Development of cyber-security process</w:t>
      </w:r>
      <w:r w:rsidR="00F14F5F" w:rsidRPr="00B40537">
        <w:rPr>
          <w:rFonts w:asciiTheme="majorHAnsi" w:hAnsiTheme="majorHAnsi" w:cstheme="majorHAnsi"/>
          <w:sz w:val="24"/>
          <w:szCs w:val="24"/>
        </w:rPr>
        <w:t>es and awareness</w:t>
      </w:r>
      <w:r w:rsidRPr="00B40537">
        <w:rPr>
          <w:rFonts w:asciiTheme="majorHAnsi" w:hAnsiTheme="majorHAnsi" w:cstheme="majorHAnsi"/>
          <w:sz w:val="24"/>
          <w:szCs w:val="24"/>
        </w:rPr>
        <w:t xml:space="preserve"> to reduce the likelihood of a data breach</w:t>
      </w:r>
    </w:p>
    <w:p w14:paraId="2EEA216E" w14:textId="3A1B4810" w:rsidR="00512EAE" w:rsidRDefault="008506EE" w:rsidP="00C34300">
      <w:pPr>
        <w:pStyle w:val="ListParagraph"/>
        <w:numPr>
          <w:ilvl w:val="0"/>
          <w:numId w:val="14"/>
        </w:numPr>
        <w:jc w:val="both"/>
        <w:rPr>
          <w:rFonts w:asciiTheme="majorHAnsi" w:hAnsiTheme="majorHAnsi" w:cstheme="majorHAnsi"/>
          <w:sz w:val="24"/>
          <w:szCs w:val="24"/>
        </w:rPr>
      </w:pPr>
      <w:r w:rsidRPr="00B40537">
        <w:rPr>
          <w:rFonts w:asciiTheme="majorHAnsi" w:hAnsiTheme="majorHAnsi" w:cstheme="majorHAnsi"/>
          <w:sz w:val="24"/>
          <w:szCs w:val="24"/>
        </w:rPr>
        <w:t xml:space="preserve">Installation of </w:t>
      </w:r>
      <w:r w:rsidR="00B603D6" w:rsidRPr="00B40537">
        <w:rPr>
          <w:rFonts w:asciiTheme="majorHAnsi" w:hAnsiTheme="majorHAnsi" w:cstheme="majorHAnsi"/>
          <w:sz w:val="24"/>
          <w:szCs w:val="24"/>
        </w:rPr>
        <w:t xml:space="preserve">Health and Social Care Network broadband connection, which </w:t>
      </w:r>
      <w:r w:rsidR="00F14F5F" w:rsidRPr="00B40537">
        <w:rPr>
          <w:rFonts w:asciiTheme="majorHAnsi" w:hAnsiTheme="majorHAnsi" w:cstheme="majorHAnsi"/>
          <w:sz w:val="24"/>
          <w:szCs w:val="24"/>
        </w:rPr>
        <w:t>facilitates connection</w:t>
      </w:r>
      <w:r w:rsidR="00B603D6" w:rsidRPr="00B40537">
        <w:rPr>
          <w:rFonts w:asciiTheme="majorHAnsi" w:hAnsiTheme="majorHAnsi" w:cstheme="majorHAnsi"/>
          <w:sz w:val="24"/>
          <w:szCs w:val="24"/>
        </w:rPr>
        <w:t xml:space="preserve"> to the Greater Manchester Health Care Record system.</w:t>
      </w:r>
    </w:p>
    <w:p w14:paraId="43A85FEF" w14:textId="77777777" w:rsidR="00C34300" w:rsidRPr="00C34300" w:rsidRDefault="00C34300" w:rsidP="00C34300">
      <w:pPr>
        <w:pStyle w:val="ListParagraph"/>
        <w:jc w:val="both"/>
        <w:rPr>
          <w:rFonts w:asciiTheme="majorHAnsi" w:hAnsiTheme="majorHAnsi" w:cstheme="majorHAnsi"/>
          <w:sz w:val="24"/>
          <w:szCs w:val="24"/>
        </w:rPr>
      </w:pPr>
    </w:p>
    <w:p w14:paraId="6711490F" w14:textId="77777777" w:rsidR="00E87D50" w:rsidRPr="00B40537" w:rsidRDefault="00B603D6">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color w:val="5F497A" w:themeColor="accent4" w:themeShade="BF"/>
          <w:sz w:val="28"/>
          <w:szCs w:val="28"/>
          <w:u w:val="single"/>
        </w:rPr>
        <w:t>Fundraising</w:t>
      </w:r>
    </w:p>
    <w:p w14:paraId="1D2CA4F6" w14:textId="77777777" w:rsidR="00E87D50" w:rsidRPr="00B40537" w:rsidRDefault="00E87D50" w:rsidP="00C34300">
      <w:pPr>
        <w:pStyle w:val="MainLevel"/>
        <w:sectPr w:rsidR="00E87D50" w:rsidRPr="00B40537" w:rsidSect="00B40537">
          <w:type w:val="continuous"/>
          <w:pgSz w:w="12240" w:h="15840"/>
          <w:pgMar w:top="1440" w:right="1080" w:bottom="1440" w:left="1080" w:header="0" w:footer="0" w:gutter="0"/>
          <w:cols w:space="720"/>
          <w:formProt w:val="0"/>
          <w:docGrid w:linePitch="360" w:charSpace="4096"/>
        </w:sectPr>
      </w:pPr>
    </w:p>
    <w:p w14:paraId="54C1230B" w14:textId="77777777" w:rsidR="00E87D50" w:rsidRPr="00B40537" w:rsidRDefault="00B603D6">
      <w:pPr>
        <w:rPr>
          <w:rFonts w:asciiTheme="majorHAnsi" w:hAnsiTheme="majorHAnsi" w:cstheme="majorHAnsi"/>
          <w:sz w:val="24"/>
          <w:szCs w:val="24"/>
        </w:rPr>
      </w:pPr>
      <w:r w:rsidRPr="00B40537">
        <w:rPr>
          <w:rFonts w:asciiTheme="majorHAnsi" w:hAnsiTheme="majorHAnsi" w:cstheme="majorHAnsi"/>
          <w:sz w:val="24"/>
          <w:szCs w:val="24"/>
        </w:rPr>
        <w:t>The Fundraising team had a busy and creative year, giving our “Hospice Heroes” new ways to support care for local families. Our events calendar included a 22-mile trek, abseil down Peel Tower, our first Dragon Boat Race, Santa Dash, Golf Day, Christmas Fair, Comedy Festival, and the second For the Love of ball. Looking ahead, we launched two new events for 2025: Back in the Day and a Sahara Trek.</w:t>
      </w:r>
    </w:p>
    <w:p w14:paraId="106A473F" w14:textId="77777777" w:rsidR="00E87D50" w:rsidRPr="00B40537" w:rsidRDefault="00B603D6">
      <w:pPr>
        <w:rPr>
          <w:rFonts w:asciiTheme="majorHAnsi" w:hAnsiTheme="majorHAnsi" w:cstheme="majorHAnsi"/>
          <w:color w:val="5F497A" w:themeColor="accent4" w:themeShade="BF"/>
          <w:sz w:val="24"/>
          <w:szCs w:val="24"/>
        </w:rPr>
      </w:pPr>
      <w:r w:rsidRPr="00B40537">
        <w:rPr>
          <w:rFonts w:asciiTheme="majorHAnsi" w:hAnsiTheme="majorHAnsi" w:cstheme="majorHAnsi"/>
          <w:sz w:val="24"/>
          <w:szCs w:val="24"/>
        </w:rPr>
        <w:t>We also held meaningful remembrance events, including a Memory Walk, the Forget-Me-Not display, and two Light Up a Light services, bringing the community together to honour loved ones</w:t>
      </w:r>
      <w:r w:rsidRPr="00B40537">
        <w:rPr>
          <w:rFonts w:asciiTheme="majorHAnsi" w:hAnsiTheme="majorHAnsi" w:cstheme="majorHAnsi"/>
          <w:color w:val="5F497A" w:themeColor="accent4" w:themeShade="BF"/>
          <w:sz w:val="24"/>
          <w:szCs w:val="24"/>
        </w:rPr>
        <w:t xml:space="preserve">. </w:t>
      </w:r>
    </w:p>
    <w:p w14:paraId="583C0517" w14:textId="77777777" w:rsidR="002D5A1F" w:rsidRPr="00B40537" w:rsidRDefault="00B603D6">
      <w:pPr>
        <w:rPr>
          <w:rFonts w:asciiTheme="majorHAnsi" w:hAnsiTheme="majorHAnsi" w:cstheme="majorHAnsi"/>
          <w:sz w:val="24"/>
          <w:szCs w:val="24"/>
        </w:rPr>
      </w:pPr>
      <w:r w:rsidRPr="00B40537">
        <w:rPr>
          <w:rFonts w:asciiTheme="majorHAnsi" w:hAnsiTheme="majorHAnsi" w:cstheme="majorHAnsi"/>
          <w:sz w:val="24"/>
          <w:szCs w:val="24"/>
        </w:rPr>
        <w:t>To grow regular income, we launched Sponsor a Nurse, encouraging monthly gifts to support our dedicated nurses. We are delighted by the strong response.</w:t>
      </w:r>
      <w:r w:rsidR="002D5A1F" w:rsidRPr="00B40537">
        <w:rPr>
          <w:rFonts w:asciiTheme="majorHAnsi" w:hAnsiTheme="majorHAnsi" w:cstheme="majorHAnsi"/>
          <w:sz w:val="24"/>
          <w:szCs w:val="24"/>
        </w:rPr>
        <w:t xml:space="preserve"> </w:t>
      </w:r>
    </w:p>
    <w:p w14:paraId="119C2EF5" w14:textId="6642D26D" w:rsidR="00E87D50" w:rsidRPr="00B40537" w:rsidRDefault="00C34300">
      <w:pPr>
        <w:rPr>
          <w:rFonts w:asciiTheme="majorHAnsi" w:hAnsiTheme="majorHAnsi" w:cstheme="majorHAnsi"/>
          <w:sz w:val="24"/>
          <w:szCs w:val="24"/>
        </w:rPr>
      </w:pPr>
      <w:r w:rsidRPr="00B40537">
        <w:rPr>
          <w:rFonts w:asciiTheme="majorHAnsi" w:hAnsiTheme="majorHAnsi" w:cstheme="majorHAnsi"/>
          <w:noProof/>
          <w:sz w:val="24"/>
          <w:szCs w:val="24"/>
          <w:lang w:val="en-GB" w:eastAsia="en-GB"/>
        </w:rPr>
        <w:drawing>
          <wp:anchor distT="0" distB="0" distL="114300" distR="114300" simplePos="0" relativeHeight="251687936" behindDoc="0" locked="0" layoutInCell="1" allowOverlap="1" wp14:anchorId="4015A32B" wp14:editId="251F4371">
            <wp:simplePos x="0" y="0"/>
            <wp:positionH relativeFrom="margin">
              <wp:posOffset>3429000</wp:posOffset>
            </wp:positionH>
            <wp:positionV relativeFrom="paragraph">
              <wp:posOffset>730885</wp:posOffset>
            </wp:positionV>
            <wp:extent cx="2971800" cy="2259330"/>
            <wp:effectExtent l="0" t="0" r="0" b="7620"/>
            <wp:wrapThrough wrapText="bothSides">
              <wp:wrapPolygon edited="0">
                <wp:start x="554" y="0"/>
                <wp:lineTo x="0" y="364"/>
                <wp:lineTo x="0" y="21309"/>
                <wp:lineTo x="554" y="21491"/>
                <wp:lineTo x="20908" y="21491"/>
                <wp:lineTo x="21462" y="21309"/>
                <wp:lineTo x="21462" y="364"/>
                <wp:lineTo x="20908" y="0"/>
                <wp:lineTo x="554"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0" cy="22593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Support from local businesses, schools, and nurseries remained fantastic, with popular activities such</w:t>
      </w:r>
      <w:r w:rsidR="002D5A1F" w:rsidRPr="00B40537">
        <w:rPr>
          <w:rFonts w:asciiTheme="majorHAnsi" w:hAnsiTheme="majorHAnsi" w:cstheme="majorHAnsi"/>
          <w:sz w:val="24"/>
          <w:szCs w:val="24"/>
        </w:rPr>
        <w:t xml:space="preserve"> a</w:t>
      </w:r>
      <w:r w:rsidR="00B603D6" w:rsidRPr="00B40537">
        <w:rPr>
          <w:rFonts w:asciiTheme="majorHAnsi" w:hAnsiTheme="majorHAnsi" w:cstheme="majorHAnsi"/>
          <w:sz w:val="24"/>
          <w:szCs w:val="24"/>
        </w:rPr>
        <w:t xml:space="preserve">s the Golf Tournament, Bunny Hop and Reindeer Run, alongside sponsorships, </w:t>
      </w:r>
      <w:r w:rsidR="002D5A1F" w:rsidRPr="00B40537">
        <w:rPr>
          <w:rFonts w:asciiTheme="majorHAnsi" w:hAnsiTheme="majorHAnsi" w:cstheme="majorHAnsi"/>
          <w:sz w:val="24"/>
          <w:szCs w:val="24"/>
        </w:rPr>
        <w:t>donations, and Char</w:t>
      </w:r>
      <w:r w:rsidR="00B603D6" w:rsidRPr="00B40537">
        <w:rPr>
          <w:rFonts w:asciiTheme="majorHAnsi" w:hAnsiTheme="majorHAnsi" w:cstheme="majorHAnsi"/>
          <w:sz w:val="24"/>
          <w:szCs w:val="24"/>
        </w:rPr>
        <w:t>ity of the Year partnerships.</w:t>
      </w:r>
    </w:p>
    <w:p w14:paraId="2FC21A30" w14:textId="20DA001B" w:rsidR="00E87D50" w:rsidRPr="00B40537" w:rsidRDefault="00C34300">
      <w:pPr>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88960" behindDoc="0" locked="0" layoutInCell="1" allowOverlap="1" wp14:anchorId="012A530E" wp14:editId="22A722F6">
            <wp:simplePos x="0" y="0"/>
            <wp:positionH relativeFrom="margin">
              <wp:posOffset>4313</wp:posOffset>
            </wp:positionH>
            <wp:positionV relativeFrom="paragraph">
              <wp:posOffset>-39047</wp:posOffset>
            </wp:positionV>
            <wp:extent cx="2829836" cy="2268748"/>
            <wp:effectExtent l="0" t="0" r="8890" b="0"/>
            <wp:wrapSquare wrapText="bothSides"/>
            <wp:docPr id="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3"/>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830495" cy="226927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C32F7" w:rsidRPr="00B40537">
        <w:rPr>
          <w:rFonts w:asciiTheme="majorHAnsi" w:hAnsiTheme="majorHAnsi" w:cstheme="majorHAnsi"/>
          <w:sz w:val="24"/>
          <w:szCs w:val="24"/>
        </w:rPr>
        <w:t xml:space="preserve">  </w:t>
      </w:r>
    </w:p>
    <w:p w14:paraId="44736B38" w14:textId="238AE72F" w:rsidR="00C24537" w:rsidRPr="00B40537" w:rsidRDefault="00C24537">
      <w:pPr>
        <w:rPr>
          <w:rFonts w:asciiTheme="majorHAnsi" w:hAnsiTheme="majorHAnsi" w:cstheme="majorHAnsi"/>
          <w:sz w:val="24"/>
          <w:szCs w:val="24"/>
        </w:rPr>
      </w:pPr>
      <w:r w:rsidRPr="00B40537">
        <w:rPr>
          <w:rFonts w:asciiTheme="majorHAnsi" w:hAnsiTheme="majorHAnsi" w:cstheme="majorHAnsi"/>
          <w:sz w:val="24"/>
          <w:szCs w:val="24"/>
        </w:rPr>
        <w:t xml:space="preserve">                                        </w:t>
      </w:r>
    </w:p>
    <w:p w14:paraId="710C0127" w14:textId="77777777" w:rsidR="001F7487" w:rsidRDefault="001F7487">
      <w:pPr>
        <w:rPr>
          <w:rFonts w:asciiTheme="majorHAnsi" w:hAnsiTheme="majorHAnsi" w:cstheme="majorHAnsi"/>
          <w:sz w:val="24"/>
          <w:szCs w:val="24"/>
        </w:rPr>
      </w:pPr>
    </w:p>
    <w:p w14:paraId="5B8FCE2B" w14:textId="77777777" w:rsidR="001F7487" w:rsidRDefault="001F7487">
      <w:pPr>
        <w:rPr>
          <w:rFonts w:asciiTheme="majorHAnsi" w:hAnsiTheme="majorHAnsi" w:cstheme="majorHAnsi"/>
          <w:sz w:val="24"/>
          <w:szCs w:val="24"/>
        </w:rPr>
      </w:pPr>
    </w:p>
    <w:p w14:paraId="4500AA8F" w14:textId="77777777" w:rsidR="001F7487" w:rsidRDefault="001F7487">
      <w:pPr>
        <w:rPr>
          <w:rFonts w:asciiTheme="majorHAnsi" w:hAnsiTheme="majorHAnsi" w:cstheme="majorHAnsi"/>
          <w:sz w:val="24"/>
          <w:szCs w:val="24"/>
        </w:rPr>
      </w:pPr>
    </w:p>
    <w:p w14:paraId="21092089" w14:textId="77777777" w:rsidR="001F7487" w:rsidRDefault="001F7487">
      <w:pPr>
        <w:rPr>
          <w:rFonts w:asciiTheme="majorHAnsi" w:hAnsiTheme="majorHAnsi" w:cstheme="majorHAnsi"/>
          <w:sz w:val="24"/>
          <w:szCs w:val="24"/>
        </w:rPr>
      </w:pPr>
    </w:p>
    <w:p w14:paraId="4E1AC02E" w14:textId="77777777" w:rsidR="001F7487" w:rsidRDefault="001F7487">
      <w:pPr>
        <w:rPr>
          <w:rFonts w:asciiTheme="majorHAnsi" w:hAnsiTheme="majorHAnsi" w:cstheme="majorHAnsi"/>
          <w:sz w:val="24"/>
          <w:szCs w:val="24"/>
        </w:rPr>
      </w:pPr>
    </w:p>
    <w:p w14:paraId="6CD8F569" w14:textId="499DA7DB" w:rsidR="001F7487" w:rsidRDefault="001F7487">
      <w:pPr>
        <w:rPr>
          <w:rFonts w:asciiTheme="majorHAnsi" w:hAnsiTheme="majorHAnsi" w:cstheme="majorHAnsi"/>
          <w:sz w:val="24"/>
          <w:szCs w:val="24"/>
        </w:rPr>
      </w:pPr>
      <w:r w:rsidRPr="00B40537">
        <w:rPr>
          <w:rFonts w:asciiTheme="majorHAnsi" w:hAnsiTheme="majorHAnsi" w:cstheme="majorHAnsi"/>
          <w:noProof/>
          <w:lang w:val="en-GB" w:eastAsia="en-GB"/>
        </w:rPr>
        <w:lastRenderedPageBreak/>
        <w:drawing>
          <wp:anchor distT="0" distB="0" distL="114300" distR="114300" simplePos="0" relativeHeight="251689984" behindDoc="0" locked="0" layoutInCell="1" allowOverlap="1" wp14:anchorId="63F536FA" wp14:editId="3EF07A77">
            <wp:simplePos x="0" y="0"/>
            <wp:positionH relativeFrom="margin">
              <wp:posOffset>3939540</wp:posOffset>
            </wp:positionH>
            <wp:positionV relativeFrom="paragraph">
              <wp:posOffset>287</wp:posOffset>
            </wp:positionV>
            <wp:extent cx="2101215" cy="1257935"/>
            <wp:effectExtent l="0" t="0" r="0" b="0"/>
            <wp:wrapSquare wrapText="bothSides"/>
            <wp:docPr id="34" name="Image13" descr="A logo for a char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 descr="A logo for a charity&#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101215" cy="1257935"/>
                    </a:xfrm>
                    <a:prstGeom prst="rect">
                      <a:avLst/>
                    </a:prstGeom>
                  </pic:spPr>
                </pic:pic>
              </a:graphicData>
            </a:graphic>
            <wp14:sizeRelH relativeFrom="margin">
              <wp14:pctWidth>0</wp14:pctWidth>
            </wp14:sizeRelH>
            <wp14:sizeRelV relativeFrom="margin">
              <wp14:pctHeight>0</wp14:pctHeight>
            </wp14:sizeRelV>
          </wp:anchor>
        </w:drawing>
      </w:r>
      <w:r w:rsidRPr="00B40537">
        <w:rPr>
          <w:rFonts w:asciiTheme="majorHAnsi" w:hAnsiTheme="majorHAnsi" w:cstheme="majorHAnsi"/>
          <w:noProof/>
          <w:lang w:val="en-GB" w:eastAsia="en-GB"/>
        </w:rPr>
        <w:drawing>
          <wp:anchor distT="0" distB="0" distL="114300" distR="114300" simplePos="0" relativeHeight="251691008" behindDoc="0" locked="0" layoutInCell="1" allowOverlap="1" wp14:anchorId="1D11A637" wp14:editId="4BF50985">
            <wp:simplePos x="0" y="0"/>
            <wp:positionH relativeFrom="margin">
              <wp:posOffset>354965</wp:posOffset>
            </wp:positionH>
            <wp:positionV relativeFrom="paragraph">
              <wp:posOffset>587</wp:posOffset>
            </wp:positionV>
            <wp:extent cx="2192655" cy="1259205"/>
            <wp:effectExtent l="0" t="0" r="0" b="0"/>
            <wp:wrapSquare wrapText="bothSides"/>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192655" cy="1259205"/>
                    </a:xfrm>
                    <a:prstGeom prst="rect">
                      <a:avLst/>
                    </a:prstGeom>
                  </pic:spPr>
                </pic:pic>
              </a:graphicData>
            </a:graphic>
            <wp14:sizeRelH relativeFrom="margin">
              <wp14:pctWidth>0</wp14:pctWidth>
            </wp14:sizeRelH>
            <wp14:sizeRelV relativeFrom="margin">
              <wp14:pctHeight>0</wp14:pctHeight>
            </wp14:sizeRelV>
          </wp:anchor>
        </w:drawing>
      </w:r>
    </w:p>
    <w:p w14:paraId="5853A70A" w14:textId="1D57FD66" w:rsidR="001F7487" w:rsidRDefault="001F7487">
      <w:pPr>
        <w:rPr>
          <w:rFonts w:asciiTheme="majorHAnsi" w:hAnsiTheme="majorHAnsi" w:cstheme="majorHAnsi"/>
          <w:sz w:val="24"/>
          <w:szCs w:val="24"/>
        </w:rPr>
      </w:pPr>
    </w:p>
    <w:p w14:paraId="151F3A34" w14:textId="047C8C9A" w:rsidR="001F7487" w:rsidRDefault="001F7487">
      <w:pPr>
        <w:rPr>
          <w:rFonts w:asciiTheme="majorHAnsi" w:hAnsiTheme="majorHAnsi" w:cstheme="majorHAnsi"/>
          <w:sz w:val="24"/>
          <w:szCs w:val="24"/>
        </w:rPr>
      </w:pPr>
    </w:p>
    <w:p w14:paraId="349DC2EC" w14:textId="6B4E9520" w:rsidR="001F7487" w:rsidRDefault="001F7487">
      <w:pPr>
        <w:rPr>
          <w:rFonts w:asciiTheme="majorHAnsi" w:hAnsiTheme="majorHAnsi" w:cstheme="majorHAnsi"/>
          <w:sz w:val="24"/>
          <w:szCs w:val="24"/>
        </w:rPr>
      </w:pPr>
    </w:p>
    <w:p w14:paraId="5ED2511C" w14:textId="77777777" w:rsidR="001F7487" w:rsidRDefault="001F7487">
      <w:pPr>
        <w:rPr>
          <w:rFonts w:asciiTheme="majorHAnsi" w:hAnsiTheme="majorHAnsi" w:cstheme="majorHAnsi"/>
          <w:sz w:val="24"/>
          <w:szCs w:val="24"/>
        </w:rPr>
      </w:pPr>
    </w:p>
    <w:p w14:paraId="1AE51DA3" w14:textId="19BDBAB4" w:rsidR="00E87D50" w:rsidRPr="00B40537" w:rsidRDefault="001F7487">
      <w:pPr>
        <w:rPr>
          <w:rFonts w:asciiTheme="majorHAnsi" w:hAnsiTheme="majorHAnsi" w:cstheme="majorHAnsi"/>
          <w:color w:val="5F497A" w:themeColor="accent4" w:themeShade="BF"/>
          <w:sz w:val="24"/>
          <w:szCs w:val="24"/>
        </w:rPr>
      </w:pPr>
      <w:r w:rsidRPr="00B40537">
        <w:rPr>
          <w:rFonts w:asciiTheme="majorHAnsi" w:hAnsiTheme="majorHAnsi" w:cstheme="majorHAnsi"/>
          <w:noProof/>
          <w:lang w:val="en-GB" w:eastAsia="en-GB"/>
        </w:rPr>
        <w:drawing>
          <wp:anchor distT="0" distB="0" distL="0" distR="0" simplePos="0" relativeHeight="251660288" behindDoc="0" locked="0" layoutInCell="0" allowOverlap="1" wp14:anchorId="4557905E" wp14:editId="2BBC68A3">
            <wp:simplePos x="0" y="0"/>
            <wp:positionH relativeFrom="margin">
              <wp:align>center</wp:align>
            </wp:positionH>
            <wp:positionV relativeFrom="margin">
              <wp:posOffset>2372432</wp:posOffset>
            </wp:positionV>
            <wp:extent cx="3717925" cy="1983740"/>
            <wp:effectExtent l="0" t="0" r="0" b="0"/>
            <wp:wrapTopAndBottom/>
            <wp:docPr id="36"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
                    <pic:cNvPicPr>
                      <a:picLocks noChangeAspect="1" noChangeArrowheads="1"/>
                    </pic:cNvPicPr>
                  </pic:nvPicPr>
                  <pic:blipFill>
                    <a:blip r:embed="rId44"/>
                    <a:stretch>
                      <a:fillRect/>
                    </a:stretch>
                  </pic:blipFill>
                  <pic:spPr bwMode="auto">
                    <a:xfrm>
                      <a:off x="0" y="0"/>
                      <a:ext cx="3717925" cy="1983740"/>
                    </a:xfrm>
                    <a:prstGeom prst="rect">
                      <a:avLst/>
                    </a:prstGeom>
                  </pic:spPr>
                </pic:pic>
              </a:graphicData>
            </a:graphic>
            <wp14:sizeRelH relativeFrom="margin">
              <wp14:pctWidth>0</wp14:pctWidth>
            </wp14:sizeRelH>
            <wp14:sizeRelV relativeFrom="margin">
              <wp14:pctHeight>0</wp14:pctHeight>
            </wp14:sizeRelV>
          </wp:anchor>
        </w:drawing>
      </w:r>
      <w:r w:rsidR="00B603D6" w:rsidRPr="00B40537">
        <w:rPr>
          <w:rFonts w:asciiTheme="majorHAnsi" w:hAnsiTheme="majorHAnsi" w:cstheme="majorHAnsi"/>
          <w:sz w:val="24"/>
          <w:szCs w:val="24"/>
        </w:rPr>
        <w:t>We are deeply grateful to the individuals, groups, and organisations whose generosity makes our work possible.</w:t>
      </w:r>
    </w:p>
    <w:p w14:paraId="62AEA4F8" w14:textId="461E76BB" w:rsidR="000C32F7" w:rsidRDefault="000C32F7">
      <w:pPr>
        <w:rPr>
          <w:rFonts w:asciiTheme="majorHAnsi" w:hAnsiTheme="majorHAnsi" w:cstheme="majorHAnsi"/>
          <w:b/>
          <w:bCs/>
          <w:color w:val="5F497A" w:themeColor="accent4" w:themeShade="BF"/>
          <w:sz w:val="28"/>
          <w:szCs w:val="28"/>
          <w:u w:val="single"/>
        </w:rPr>
      </w:pPr>
    </w:p>
    <w:p w14:paraId="5589463C" w14:textId="3BEADD82" w:rsidR="001F7487" w:rsidRPr="00B40537" w:rsidRDefault="001F7487">
      <w:pPr>
        <w:rPr>
          <w:rFonts w:asciiTheme="majorHAnsi" w:hAnsiTheme="majorHAnsi" w:cstheme="majorHAnsi"/>
          <w:b/>
          <w:bCs/>
          <w:color w:val="5F497A" w:themeColor="accent4" w:themeShade="BF"/>
          <w:sz w:val="28"/>
          <w:szCs w:val="28"/>
          <w:u w:val="single"/>
        </w:rPr>
      </w:pPr>
    </w:p>
    <w:p w14:paraId="60FBA51E" w14:textId="1BE56BB3" w:rsidR="00E87D50" w:rsidRPr="00B40537" w:rsidRDefault="00B603D6" w:rsidP="001F7487">
      <w:pPr>
        <w:pStyle w:val="MainLevel"/>
      </w:pPr>
      <w:bookmarkStart w:id="39" w:name="_Toc216792808"/>
      <w:r w:rsidRPr="00B40537">
        <w:t>Retail</w:t>
      </w:r>
      <w:bookmarkEnd w:id="39"/>
    </w:p>
    <w:p w14:paraId="30FA66BC" w14:textId="2023F21C" w:rsidR="00E87D50" w:rsidRPr="00B40537" w:rsidRDefault="00B603D6">
      <w:pPr>
        <w:rPr>
          <w:rFonts w:asciiTheme="majorHAnsi" w:hAnsiTheme="majorHAnsi" w:cstheme="majorHAnsi"/>
          <w:bCs/>
          <w:sz w:val="24"/>
          <w:szCs w:val="24"/>
        </w:rPr>
      </w:pPr>
      <w:r w:rsidRPr="00B40537">
        <w:rPr>
          <w:rFonts w:asciiTheme="majorHAnsi" w:hAnsiTheme="majorHAnsi" w:cstheme="majorHAnsi"/>
          <w:bCs/>
          <w:sz w:val="24"/>
          <w:szCs w:val="24"/>
        </w:rPr>
        <w:t>The retail department have had a very challenging year on many fronts from donated stock quality to pressures from current cost of living issues. However, despite these challenges, we continue to build on last year’s sales. We have had a very busy year moving our old Radcliffe shop back into the town centre and excitingly, we have opened two new units – a clearance shop in Whitefield and a second furniture outlet in Se</w:t>
      </w:r>
      <w:r w:rsidR="00C24537" w:rsidRPr="00B40537">
        <w:rPr>
          <w:rFonts w:asciiTheme="majorHAnsi" w:hAnsiTheme="majorHAnsi" w:cstheme="majorHAnsi"/>
          <w:bCs/>
          <w:sz w:val="24"/>
          <w:szCs w:val="24"/>
        </w:rPr>
        <w:t>dgley Park</w:t>
      </w:r>
      <w:r w:rsidRPr="00B40537">
        <w:rPr>
          <w:rFonts w:asciiTheme="majorHAnsi" w:hAnsiTheme="majorHAnsi" w:cstheme="majorHAnsi"/>
          <w:bCs/>
          <w:sz w:val="24"/>
          <w:szCs w:val="24"/>
        </w:rPr>
        <w:t xml:space="preserve">. </w:t>
      </w:r>
    </w:p>
    <w:p w14:paraId="11441749" w14:textId="77777777" w:rsidR="00E87D50" w:rsidRPr="00B40537" w:rsidRDefault="00B603D6">
      <w:pPr>
        <w:rPr>
          <w:rFonts w:asciiTheme="majorHAnsi" w:hAnsiTheme="majorHAnsi" w:cstheme="majorHAnsi"/>
          <w:bCs/>
          <w:sz w:val="24"/>
          <w:szCs w:val="24"/>
        </w:rPr>
      </w:pPr>
      <w:r w:rsidRPr="00B40537">
        <w:rPr>
          <w:rFonts w:asciiTheme="majorHAnsi" w:hAnsiTheme="majorHAnsi" w:cstheme="majorHAnsi"/>
          <w:bCs/>
          <w:sz w:val="24"/>
          <w:szCs w:val="24"/>
        </w:rPr>
        <w:t xml:space="preserve">Our shops continue to be popular hubs within the local communities of Bury and are supported by an amazing team of volunteers who not only help us raise vital funds but are the face and voice of the Hospice within their locale. We have held a number of Young Fashion events and themed promotions across the shops which have helped boost sales and been very popular with staff and customers alike. </w:t>
      </w:r>
    </w:p>
    <w:p w14:paraId="7C3E0EF4" w14:textId="1A5D4AFD" w:rsidR="00E87D50" w:rsidRPr="00B40537" w:rsidRDefault="00B603D6">
      <w:pPr>
        <w:rPr>
          <w:rFonts w:asciiTheme="majorHAnsi" w:hAnsiTheme="majorHAnsi" w:cstheme="majorHAnsi"/>
          <w:bCs/>
          <w:sz w:val="24"/>
          <w:szCs w:val="24"/>
        </w:rPr>
      </w:pPr>
      <w:r w:rsidRPr="00B40537">
        <w:rPr>
          <w:rFonts w:asciiTheme="majorHAnsi" w:hAnsiTheme="majorHAnsi" w:cstheme="majorHAnsi"/>
          <w:bCs/>
          <w:sz w:val="24"/>
          <w:szCs w:val="24"/>
        </w:rPr>
        <w:t>At the Hospice, we also now have a shop in reception which sells a selection of new goods and gifts alongside old favourites like our Christmas cards.</w:t>
      </w:r>
      <w:r w:rsidR="00C24537" w:rsidRPr="00B40537">
        <w:rPr>
          <w:rFonts w:asciiTheme="majorHAnsi" w:hAnsiTheme="majorHAnsi" w:cstheme="majorHAnsi"/>
          <w:b/>
          <w:bCs/>
          <w:noProof/>
          <w:sz w:val="24"/>
          <w:szCs w:val="24"/>
          <w:u w:val="single"/>
          <w:lang w:val="en-GB" w:eastAsia="en-GB"/>
        </w:rPr>
        <w:t xml:space="preserve"> </w:t>
      </w:r>
    </w:p>
    <w:p w14:paraId="73D092C2" w14:textId="6A2D487F" w:rsidR="00E87D50" w:rsidRPr="00B40537" w:rsidRDefault="001F7487">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noProof/>
          <w:color w:val="5F497A" w:themeColor="accent4" w:themeShade="BF"/>
          <w:sz w:val="28"/>
          <w:szCs w:val="28"/>
          <w:u w:val="single"/>
          <w:lang w:val="en-GB" w:eastAsia="en-GB"/>
        </w:rPr>
        <w:lastRenderedPageBreak/>
        <w:drawing>
          <wp:anchor distT="0" distB="0" distL="0" distR="0" simplePos="0" relativeHeight="251660031" behindDoc="0" locked="0" layoutInCell="0" allowOverlap="1" wp14:anchorId="2AAF6E52" wp14:editId="7C1A7C6F">
            <wp:simplePos x="0" y="0"/>
            <wp:positionH relativeFrom="margin">
              <wp:align>center</wp:align>
            </wp:positionH>
            <wp:positionV relativeFrom="margin">
              <wp:align>top</wp:align>
            </wp:positionV>
            <wp:extent cx="5874385" cy="3399155"/>
            <wp:effectExtent l="0" t="0" r="0" b="0"/>
            <wp:wrapSquare wrapText="largest"/>
            <wp:docPr id="39"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2"/>
                    <pic:cNvPicPr>
                      <a:picLocks noChangeAspect="1" noChangeArrowheads="1"/>
                    </pic:cNvPicPr>
                  </pic:nvPicPr>
                  <pic:blipFill>
                    <a:blip r:embed="rId45"/>
                    <a:stretch>
                      <a:fillRect/>
                    </a:stretch>
                  </pic:blipFill>
                  <pic:spPr bwMode="auto">
                    <a:xfrm>
                      <a:off x="0" y="0"/>
                      <a:ext cx="5874385" cy="3399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710E434" w14:textId="77777777" w:rsidR="001F7487" w:rsidRDefault="001F7487">
      <w:pPr>
        <w:rPr>
          <w:rFonts w:asciiTheme="majorHAnsi" w:hAnsiTheme="majorHAnsi" w:cstheme="majorHAnsi"/>
          <w:b/>
          <w:bCs/>
          <w:color w:val="5F497A" w:themeColor="accent4" w:themeShade="BF"/>
          <w:sz w:val="28"/>
          <w:szCs w:val="28"/>
          <w:u w:val="single"/>
        </w:rPr>
      </w:pPr>
    </w:p>
    <w:p w14:paraId="3F8D4F71" w14:textId="77777777" w:rsidR="001F7487" w:rsidRDefault="001F7487">
      <w:pPr>
        <w:rPr>
          <w:rFonts w:asciiTheme="majorHAnsi" w:hAnsiTheme="majorHAnsi" w:cstheme="majorHAnsi"/>
          <w:b/>
          <w:bCs/>
          <w:color w:val="5F497A" w:themeColor="accent4" w:themeShade="BF"/>
          <w:sz w:val="28"/>
          <w:szCs w:val="28"/>
          <w:u w:val="single"/>
        </w:rPr>
      </w:pPr>
    </w:p>
    <w:p w14:paraId="1E72283C" w14:textId="77777777" w:rsidR="001F7487" w:rsidRDefault="001F7487">
      <w:pPr>
        <w:rPr>
          <w:rFonts w:asciiTheme="majorHAnsi" w:hAnsiTheme="majorHAnsi" w:cstheme="majorHAnsi"/>
          <w:b/>
          <w:bCs/>
          <w:color w:val="5F497A" w:themeColor="accent4" w:themeShade="BF"/>
          <w:sz w:val="28"/>
          <w:szCs w:val="28"/>
          <w:u w:val="single"/>
        </w:rPr>
      </w:pPr>
    </w:p>
    <w:p w14:paraId="106046D1" w14:textId="114535B9" w:rsidR="001F7487" w:rsidRDefault="001F7487">
      <w:pPr>
        <w:rPr>
          <w:rFonts w:asciiTheme="majorHAnsi" w:hAnsiTheme="majorHAnsi" w:cstheme="majorHAnsi"/>
          <w:b/>
          <w:bCs/>
          <w:color w:val="5F497A" w:themeColor="accent4" w:themeShade="BF"/>
          <w:sz w:val="28"/>
          <w:szCs w:val="28"/>
          <w:u w:val="single"/>
        </w:rPr>
      </w:pPr>
    </w:p>
    <w:p w14:paraId="13EF8B52" w14:textId="63F38B77" w:rsidR="001F7487" w:rsidRDefault="001F7487">
      <w:pPr>
        <w:rPr>
          <w:rFonts w:asciiTheme="majorHAnsi" w:hAnsiTheme="majorHAnsi" w:cstheme="majorHAnsi"/>
          <w:b/>
          <w:bCs/>
          <w:color w:val="5F497A" w:themeColor="accent4" w:themeShade="BF"/>
          <w:sz w:val="28"/>
          <w:szCs w:val="28"/>
          <w:u w:val="single"/>
        </w:rPr>
      </w:pPr>
    </w:p>
    <w:p w14:paraId="63CEF20A" w14:textId="6EE3EE5F" w:rsidR="001F7487" w:rsidRDefault="008C6D5C">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noProof/>
          <w:lang w:val="en-GB" w:eastAsia="en-GB"/>
        </w:rPr>
        <w:drawing>
          <wp:anchor distT="0" distB="0" distL="0" distR="0" simplePos="0" relativeHeight="251659007" behindDoc="0" locked="0" layoutInCell="0" allowOverlap="1" wp14:anchorId="42883ABD" wp14:editId="2FB5A7AB">
            <wp:simplePos x="0" y="0"/>
            <wp:positionH relativeFrom="margin">
              <wp:posOffset>3782060</wp:posOffset>
            </wp:positionH>
            <wp:positionV relativeFrom="margin">
              <wp:align>bottom</wp:align>
            </wp:positionV>
            <wp:extent cx="2703830" cy="3260725"/>
            <wp:effectExtent l="0" t="0" r="1270" b="0"/>
            <wp:wrapSquare wrapText="largest"/>
            <wp:docPr id="42"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
                    <pic:cNvPicPr>
                      <a:picLocks noChangeAspect="1" noChangeArrowheads="1"/>
                    </pic:cNvPicPr>
                  </pic:nvPicPr>
                  <pic:blipFill rotWithShape="1">
                    <a:blip r:embed="rId46"/>
                    <a:srcRect t="5005" r="-741" b="19298"/>
                    <a:stretch/>
                  </pic:blipFill>
                  <pic:spPr bwMode="auto">
                    <a:xfrm>
                      <a:off x="0" y="0"/>
                      <a:ext cx="2703830" cy="3260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7487" w:rsidRPr="00B40537">
        <w:rPr>
          <w:rFonts w:asciiTheme="majorHAnsi" w:hAnsiTheme="majorHAnsi" w:cstheme="majorHAnsi"/>
          <w:b/>
          <w:bCs/>
          <w:noProof/>
          <w:color w:val="5F497A" w:themeColor="accent4" w:themeShade="BF"/>
          <w:sz w:val="28"/>
          <w:szCs w:val="28"/>
          <w:u w:val="single"/>
          <w:lang w:val="en-GB" w:eastAsia="en-GB"/>
        </w:rPr>
        <w:drawing>
          <wp:anchor distT="0" distB="0" distL="0" distR="0" simplePos="0" relativeHeight="251660159" behindDoc="0" locked="0" layoutInCell="0" allowOverlap="1" wp14:anchorId="47079732" wp14:editId="005F03F8">
            <wp:simplePos x="0" y="0"/>
            <wp:positionH relativeFrom="margin">
              <wp:posOffset>3810</wp:posOffset>
            </wp:positionH>
            <wp:positionV relativeFrom="paragraph">
              <wp:posOffset>591316</wp:posOffset>
            </wp:positionV>
            <wp:extent cx="2311400" cy="2547620"/>
            <wp:effectExtent l="0" t="0" r="0" b="5080"/>
            <wp:wrapSquare wrapText="largest"/>
            <wp:docPr id="40"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
                    <pic:cNvPicPr>
                      <a:picLocks noChangeAspect="1" noChangeArrowheads="1"/>
                    </pic:cNvPicPr>
                  </pic:nvPicPr>
                  <pic:blipFill>
                    <a:blip r:embed="rId47"/>
                    <a:stretch>
                      <a:fillRect/>
                    </a:stretch>
                  </pic:blipFill>
                  <pic:spPr bwMode="auto">
                    <a:xfrm>
                      <a:off x="0" y="0"/>
                      <a:ext cx="2311400" cy="2547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DC76D8" w14:textId="01FFD919" w:rsidR="001F7487" w:rsidRDefault="001F7487">
      <w:pPr>
        <w:rPr>
          <w:rFonts w:asciiTheme="majorHAnsi" w:hAnsiTheme="majorHAnsi" w:cstheme="majorHAnsi"/>
          <w:b/>
          <w:bCs/>
          <w:color w:val="5F497A" w:themeColor="accent4" w:themeShade="BF"/>
          <w:sz w:val="28"/>
          <w:szCs w:val="28"/>
          <w:u w:val="single"/>
        </w:rPr>
      </w:pPr>
    </w:p>
    <w:p w14:paraId="3A107D0A" w14:textId="393CB590" w:rsidR="001F7487" w:rsidRDefault="008C6D5C">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noProof/>
          <w:sz w:val="24"/>
          <w:szCs w:val="24"/>
          <w:u w:val="single"/>
          <w:lang w:val="en-GB" w:eastAsia="en-GB"/>
        </w:rPr>
        <w:drawing>
          <wp:anchor distT="0" distB="0" distL="0" distR="0" simplePos="0" relativeHeight="251659775" behindDoc="0" locked="0" layoutInCell="0" allowOverlap="1" wp14:anchorId="7CFB2242" wp14:editId="67362AF9">
            <wp:simplePos x="0" y="0"/>
            <wp:positionH relativeFrom="margin">
              <wp:posOffset>2790382</wp:posOffset>
            </wp:positionH>
            <wp:positionV relativeFrom="margin">
              <wp:posOffset>3277870</wp:posOffset>
            </wp:positionV>
            <wp:extent cx="2368550" cy="1884680"/>
            <wp:effectExtent l="0" t="0" r="0" b="1270"/>
            <wp:wrapSquare wrapText="largest"/>
            <wp:docPr id="41"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4"/>
                    <pic:cNvPicPr>
                      <a:picLocks noChangeAspect="1" noChangeArrowheads="1"/>
                    </pic:cNvPicPr>
                  </pic:nvPicPr>
                  <pic:blipFill rotWithShape="1">
                    <a:blip r:embed="rId48"/>
                    <a:srcRect t="18620"/>
                    <a:stretch/>
                  </pic:blipFill>
                  <pic:spPr bwMode="auto">
                    <a:xfrm>
                      <a:off x="0" y="0"/>
                      <a:ext cx="2368550" cy="188468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B18699" w14:textId="77777777" w:rsidR="001F7487" w:rsidRDefault="001F7487">
      <w:pPr>
        <w:rPr>
          <w:rFonts w:asciiTheme="majorHAnsi" w:hAnsiTheme="majorHAnsi" w:cstheme="majorHAnsi"/>
          <w:b/>
          <w:bCs/>
          <w:color w:val="5F497A" w:themeColor="accent4" w:themeShade="BF"/>
          <w:sz w:val="28"/>
          <w:szCs w:val="28"/>
          <w:u w:val="single"/>
        </w:rPr>
      </w:pPr>
    </w:p>
    <w:p w14:paraId="72AA9B88" w14:textId="07597DF2" w:rsidR="001F7487" w:rsidRDefault="001F7487">
      <w:pPr>
        <w:rPr>
          <w:rFonts w:asciiTheme="majorHAnsi" w:hAnsiTheme="majorHAnsi" w:cstheme="majorHAnsi"/>
          <w:b/>
          <w:bCs/>
          <w:color w:val="5F497A" w:themeColor="accent4" w:themeShade="BF"/>
          <w:sz w:val="28"/>
          <w:szCs w:val="28"/>
          <w:u w:val="single"/>
        </w:rPr>
      </w:pPr>
    </w:p>
    <w:p w14:paraId="55EBAE9A" w14:textId="0F4164D0" w:rsidR="001F7487" w:rsidRDefault="001F7487">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noProof/>
          <w:sz w:val="24"/>
          <w:szCs w:val="24"/>
          <w:u w:val="single"/>
          <w:lang w:val="en-GB" w:eastAsia="en-GB"/>
        </w:rPr>
        <w:drawing>
          <wp:anchor distT="0" distB="0" distL="0" distR="0" simplePos="0" relativeHeight="6" behindDoc="0" locked="0" layoutInCell="0" allowOverlap="1" wp14:anchorId="3C6DBFF3" wp14:editId="59B01FE6">
            <wp:simplePos x="0" y="0"/>
            <wp:positionH relativeFrom="margin">
              <wp:posOffset>4313</wp:posOffset>
            </wp:positionH>
            <wp:positionV relativeFrom="margin">
              <wp:posOffset>5455274</wp:posOffset>
            </wp:positionV>
            <wp:extent cx="3605842" cy="2771248"/>
            <wp:effectExtent l="0" t="0" r="0" b="0"/>
            <wp:wrapNone/>
            <wp:docPr id="38"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
                    <pic:cNvPicPr>
                      <a:picLocks noChangeAspect="1" noChangeArrowheads="1"/>
                    </pic:cNvPicPr>
                  </pic:nvPicPr>
                  <pic:blipFill>
                    <a:blip r:embed="rId49"/>
                    <a:stretch>
                      <a:fillRect/>
                    </a:stretch>
                  </pic:blipFill>
                  <pic:spPr bwMode="auto">
                    <a:xfrm>
                      <a:off x="0" y="0"/>
                      <a:ext cx="3607433" cy="277247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AFE9CB2" w14:textId="7E4B8937" w:rsidR="001F7487" w:rsidRDefault="001F7487">
      <w:pPr>
        <w:rPr>
          <w:rFonts w:asciiTheme="majorHAnsi" w:hAnsiTheme="majorHAnsi" w:cstheme="majorHAnsi"/>
          <w:b/>
          <w:bCs/>
          <w:color w:val="5F497A" w:themeColor="accent4" w:themeShade="BF"/>
          <w:sz w:val="28"/>
          <w:szCs w:val="28"/>
          <w:u w:val="single"/>
        </w:rPr>
      </w:pPr>
    </w:p>
    <w:p w14:paraId="65C71387" w14:textId="77777777" w:rsidR="001F7487" w:rsidRDefault="001F7487">
      <w:pPr>
        <w:rPr>
          <w:rFonts w:asciiTheme="majorHAnsi" w:hAnsiTheme="majorHAnsi" w:cstheme="majorHAnsi"/>
          <w:b/>
          <w:bCs/>
          <w:color w:val="5F497A" w:themeColor="accent4" w:themeShade="BF"/>
          <w:sz w:val="28"/>
          <w:szCs w:val="28"/>
          <w:u w:val="single"/>
        </w:rPr>
      </w:pPr>
    </w:p>
    <w:p w14:paraId="62F5A39A" w14:textId="77777777" w:rsidR="001F7487" w:rsidRDefault="001F7487">
      <w:pPr>
        <w:rPr>
          <w:rFonts w:asciiTheme="majorHAnsi" w:hAnsiTheme="majorHAnsi" w:cstheme="majorHAnsi"/>
          <w:b/>
          <w:bCs/>
          <w:color w:val="5F497A" w:themeColor="accent4" w:themeShade="BF"/>
          <w:sz w:val="28"/>
          <w:szCs w:val="28"/>
          <w:u w:val="single"/>
        </w:rPr>
      </w:pPr>
    </w:p>
    <w:p w14:paraId="77315629" w14:textId="77777777" w:rsidR="001F7487" w:rsidRDefault="001F7487">
      <w:pPr>
        <w:rPr>
          <w:rFonts w:asciiTheme="majorHAnsi" w:hAnsiTheme="majorHAnsi" w:cstheme="majorHAnsi"/>
          <w:b/>
          <w:bCs/>
          <w:color w:val="5F497A" w:themeColor="accent4" w:themeShade="BF"/>
          <w:sz w:val="28"/>
          <w:szCs w:val="28"/>
          <w:u w:val="single"/>
        </w:rPr>
      </w:pPr>
    </w:p>
    <w:p w14:paraId="77D7922F" w14:textId="77777777" w:rsidR="001F7487" w:rsidRDefault="001F7487">
      <w:pPr>
        <w:rPr>
          <w:rFonts w:asciiTheme="majorHAnsi" w:hAnsiTheme="majorHAnsi" w:cstheme="majorHAnsi"/>
          <w:b/>
          <w:bCs/>
          <w:color w:val="5F497A" w:themeColor="accent4" w:themeShade="BF"/>
          <w:sz w:val="28"/>
          <w:szCs w:val="28"/>
          <w:u w:val="single"/>
        </w:rPr>
      </w:pPr>
    </w:p>
    <w:p w14:paraId="511ACA5E" w14:textId="77777777" w:rsidR="001F7487" w:rsidRDefault="001F7487">
      <w:pPr>
        <w:rPr>
          <w:rFonts w:asciiTheme="majorHAnsi" w:hAnsiTheme="majorHAnsi" w:cstheme="majorHAnsi"/>
          <w:b/>
          <w:bCs/>
          <w:color w:val="5F497A" w:themeColor="accent4" w:themeShade="BF"/>
          <w:sz w:val="28"/>
          <w:szCs w:val="28"/>
          <w:u w:val="single"/>
        </w:rPr>
      </w:pPr>
    </w:p>
    <w:p w14:paraId="7A68CCC8" w14:textId="77777777" w:rsidR="001F7487" w:rsidRDefault="001F7487">
      <w:pPr>
        <w:rPr>
          <w:rFonts w:asciiTheme="majorHAnsi" w:hAnsiTheme="majorHAnsi" w:cstheme="majorHAnsi"/>
          <w:b/>
          <w:bCs/>
          <w:color w:val="5F497A" w:themeColor="accent4" w:themeShade="BF"/>
          <w:sz w:val="28"/>
          <w:szCs w:val="28"/>
          <w:u w:val="single"/>
        </w:rPr>
      </w:pPr>
    </w:p>
    <w:p w14:paraId="6195E6F3" w14:textId="3F3D23FD" w:rsidR="001F7487" w:rsidRDefault="001F7487">
      <w:pPr>
        <w:rPr>
          <w:rFonts w:asciiTheme="majorHAnsi" w:hAnsiTheme="majorHAnsi" w:cstheme="majorHAnsi"/>
          <w:b/>
          <w:bCs/>
          <w:color w:val="5F497A" w:themeColor="accent4" w:themeShade="BF"/>
          <w:sz w:val="28"/>
          <w:szCs w:val="28"/>
          <w:u w:val="single"/>
        </w:rPr>
      </w:pPr>
    </w:p>
    <w:p w14:paraId="405A40AE" w14:textId="28058EEA" w:rsidR="008C6D5C" w:rsidRDefault="008C6D5C">
      <w:pPr>
        <w:rPr>
          <w:rFonts w:asciiTheme="majorHAnsi" w:hAnsiTheme="majorHAnsi" w:cstheme="majorHAnsi"/>
          <w:b/>
          <w:bCs/>
          <w:color w:val="5F497A" w:themeColor="accent4" w:themeShade="BF"/>
          <w:sz w:val="28"/>
          <w:szCs w:val="28"/>
          <w:u w:val="single"/>
        </w:rPr>
      </w:pPr>
    </w:p>
    <w:p w14:paraId="239B20E0" w14:textId="16915C7D" w:rsidR="00E87D50" w:rsidRPr="00B40537" w:rsidRDefault="00B603D6" w:rsidP="008C6D5C">
      <w:pPr>
        <w:pStyle w:val="MainLevel"/>
      </w:pPr>
      <w:bookmarkStart w:id="40" w:name="_Toc216792809"/>
      <w:r w:rsidRPr="00B40537">
        <w:lastRenderedPageBreak/>
        <w:t>Financial Summary</w:t>
      </w:r>
      <w:bookmarkEnd w:id="40"/>
    </w:p>
    <w:p w14:paraId="114909B8" w14:textId="09936582" w:rsidR="00596E16" w:rsidRPr="008C6D5C" w:rsidRDefault="00596E16" w:rsidP="00596E16">
      <w:pPr>
        <w:rPr>
          <w:rFonts w:asciiTheme="majorHAnsi" w:hAnsiTheme="majorHAnsi" w:cstheme="majorHAnsi"/>
          <w:bCs/>
          <w:sz w:val="24"/>
          <w:szCs w:val="24"/>
        </w:rPr>
      </w:pPr>
      <w:r w:rsidRPr="008C6D5C">
        <w:rPr>
          <w:rFonts w:asciiTheme="majorHAnsi" w:hAnsiTheme="majorHAnsi" w:cstheme="majorHAnsi"/>
          <w:bCs/>
          <w:sz w:val="24"/>
          <w:szCs w:val="24"/>
        </w:rPr>
        <w:t>The hospice services are offered free of charge to all.</w:t>
      </w:r>
    </w:p>
    <w:p w14:paraId="5CAA8F87" w14:textId="7F0C3530" w:rsidR="000755A5" w:rsidRDefault="008C6D5C">
      <w:pPr>
        <w:rPr>
          <w:rFonts w:asciiTheme="majorHAnsi" w:hAnsiTheme="majorHAnsi" w:cstheme="majorHAnsi"/>
          <w:bCs/>
          <w:sz w:val="24"/>
          <w:szCs w:val="24"/>
        </w:rPr>
      </w:pPr>
      <w:r w:rsidRPr="00B40537">
        <w:rPr>
          <w:rFonts w:asciiTheme="majorHAnsi" w:hAnsiTheme="majorHAnsi" w:cstheme="majorHAnsi"/>
          <w:noProof/>
          <w:highlight w:val="yellow"/>
          <w:lang w:val="en-GB" w:eastAsia="en-GB"/>
        </w:rPr>
        <w:drawing>
          <wp:anchor distT="0" distB="0" distL="114300" distR="114300" simplePos="0" relativeHeight="251692032" behindDoc="0" locked="0" layoutInCell="1" allowOverlap="1" wp14:anchorId="5D86249A" wp14:editId="6CCF3A57">
            <wp:simplePos x="0" y="0"/>
            <wp:positionH relativeFrom="margin">
              <wp:align>center</wp:align>
            </wp:positionH>
            <wp:positionV relativeFrom="paragraph">
              <wp:posOffset>1075666</wp:posOffset>
            </wp:positionV>
            <wp:extent cx="4532400" cy="2592000"/>
            <wp:effectExtent l="0" t="0" r="1905" b="18415"/>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596E16" w:rsidRPr="008C6D5C">
        <w:rPr>
          <w:rFonts w:asciiTheme="majorHAnsi" w:hAnsiTheme="majorHAnsi" w:cstheme="majorHAnsi"/>
          <w:bCs/>
          <w:sz w:val="24"/>
          <w:szCs w:val="24"/>
        </w:rPr>
        <w:t>Our total running costs for the financial ye</w:t>
      </w:r>
      <w:r w:rsidR="000755A5" w:rsidRPr="008C6D5C">
        <w:rPr>
          <w:rFonts w:asciiTheme="majorHAnsi" w:hAnsiTheme="majorHAnsi" w:cstheme="majorHAnsi"/>
          <w:bCs/>
          <w:sz w:val="24"/>
          <w:szCs w:val="24"/>
        </w:rPr>
        <w:t xml:space="preserve">ar 2024 – 2025 were £4,736,681 and the </w:t>
      </w:r>
      <w:r w:rsidR="001A3C40" w:rsidRPr="008C6D5C">
        <w:rPr>
          <w:rFonts w:asciiTheme="majorHAnsi" w:hAnsiTheme="majorHAnsi" w:cstheme="majorHAnsi"/>
          <w:bCs/>
          <w:sz w:val="24"/>
          <w:szCs w:val="24"/>
        </w:rPr>
        <w:t xml:space="preserve">income for the year </w:t>
      </w:r>
      <w:r w:rsidR="000755A5" w:rsidRPr="008C6D5C">
        <w:rPr>
          <w:rFonts w:asciiTheme="majorHAnsi" w:hAnsiTheme="majorHAnsi" w:cstheme="majorHAnsi"/>
          <w:bCs/>
          <w:sz w:val="24"/>
          <w:szCs w:val="24"/>
        </w:rPr>
        <w:t>totaled £4</w:t>
      </w:r>
      <w:r w:rsidR="00B37EA3" w:rsidRPr="008C6D5C">
        <w:rPr>
          <w:rFonts w:asciiTheme="majorHAnsi" w:hAnsiTheme="majorHAnsi" w:cstheme="majorHAnsi"/>
          <w:bCs/>
          <w:sz w:val="24"/>
          <w:szCs w:val="24"/>
        </w:rPr>
        <w:t>, 780,80</w:t>
      </w:r>
      <w:r w:rsidR="000755A5" w:rsidRPr="008C6D5C">
        <w:rPr>
          <w:rFonts w:asciiTheme="majorHAnsi" w:hAnsiTheme="majorHAnsi" w:cstheme="majorHAnsi"/>
          <w:bCs/>
          <w:sz w:val="24"/>
          <w:szCs w:val="24"/>
        </w:rPr>
        <w:t>. Of which 17% was funded via our contract with the NHS and the remainder generated through the generosity of our supporters, enabling the Hospice to continue to deliver vital services for patients and those important to them.</w:t>
      </w:r>
    </w:p>
    <w:p w14:paraId="126164B5" w14:textId="77777777" w:rsidR="008C6D5C" w:rsidRPr="008C6D5C" w:rsidRDefault="008C6D5C">
      <w:pPr>
        <w:rPr>
          <w:rFonts w:asciiTheme="majorHAnsi" w:hAnsiTheme="majorHAnsi" w:cstheme="majorHAnsi"/>
          <w:bCs/>
          <w:sz w:val="24"/>
          <w:szCs w:val="24"/>
        </w:rPr>
      </w:pPr>
    </w:p>
    <w:p w14:paraId="165125EE" w14:textId="1A439E56" w:rsidR="00B37EA3" w:rsidRPr="00B40537" w:rsidRDefault="00B37EA3" w:rsidP="008C6D5C">
      <w:pPr>
        <w:pStyle w:val="MainLevel"/>
      </w:pPr>
      <w:bookmarkStart w:id="41" w:name="_Toc216792810"/>
      <w:r w:rsidRPr="00B40537">
        <w:t>Our Impact on the Local Community: Beyond Clinical Care</w:t>
      </w:r>
      <w:bookmarkEnd w:id="41"/>
      <w:r w:rsidRPr="00B40537">
        <w:t xml:space="preserve"> </w:t>
      </w:r>
    </w:p>
    <w:p w14:paraId="4228E6EA" w14:textId="77777777" w:rsidR="00B37EA3" w:rsidRPr="00B40537" w:rsidRDefault="00B37EA3">
      <w:pPr>
        <w:rPr>
          <w:rFonts w:asciiTheme="majorHAnsi" w:hAnsiTheme="majorHAnsi" w:cstheme="majorHAnsi"/>
          <w:bCs/>
          <w:sz w:val="24"/>
          <w:szCs w:val="24"/>
        </w:rPr>
      </w:pPr>
      <w:r w:rsidRPr="00B40537">
        <w:rPr>
          <w:rFonts w:asciiTheme="majorHAnsi" w:hAnsiTheme="majorHAnsi" w:cstheme="majorHAnsi"/>
          <w:bCs/>
          <w:sz w:val="24"/>
          <w:szCs w:val="24"/>
        </w:rPr>
        <w:t>As a vital part of the local ecosystem, our hospice extends its positive impact far beyond clinical services. We are committed to enriching the local community both socially and economically, fostering a culture of giving, employment, and sustainability.</w:t>
      </w:r>
    </w:p>
    <w:p w14:paraId="362F757A" w14:textId="77777777" w:rsidR="00B37EA3" w:rsidRPr="00B40537" w:rsidRDefault="00B37EA3">
      <w:pPr>
        <w:rPr>
          <w:rFonts w:asciiTheme="majorHAnsi" w:hAnsiTheme="majorHAnsi" w:cstheme="majorHAnsi"/>
          <w:bCs/>
          <w:sz w:val="24"/>
          <w:szCs w:val="24"/>
        </w:rPr>
      </w:pPr>
      <w:r w:rsidRPr="00B40537">
        <w:rPr>
          <w:rFonts w:asciiTheme="majorHAnsi" w:hAnsiTheme="majorHAnsi" w:cstheme="majorHAnsi"/>
          <w:b/>
          <w:bCs/>
          <w:sz w:val="24"/>
          <w:szCs w:val="24"/>
          <w:u w:val="single"/>
        </w:rPr>
        <w:t xml:space="preserve"> </w:t>
      </w:r>
      <w:r w:rsidRPr="00B40537">
        <w:rPr>
          <w:rFonts w:ascii="Segoe UI Symbol" w:hAnsi="Segoe UI Symbol" w:cs="Segoe UI Symbol"/>
          <w:b/>
          <w:bCs/>
          <w:color w:val="5F497A" w:themeColor="accent4" w:themeShade="BF"/>
          <w:sz w:val="24"/>
          <w:szCs w:val="24"/>
          <w:u w:val="single"/>
        </w:rPr>
        <w:t>👥</w:t>
      </w:r>
      <w:r w:rsidRPr="00B40537">
        <w:rPr>
          <w:rFonts w:asciiTheme="majorHAnsi" w:hAnsiTheme="majorHAnsi" w:cstheme="majorHAnsi"/>
          <w:b/>
          <w:bCs/>
          <w:color w:val="5F497A" w:themeColor="accent4" w:themeShade="BF"/>
          <w:sz w:val="24"/>
          <w:szCs w:val="24"/>
          <w:u w:val="single"/>
        </w:rPr>
        <w:t xml:space="preserve"> Local Employment and Volunteerism:</w:t>
      </w:r>
      <w:r w:rsidRPr="00B40537">
        <w:rPr>
          <w:rFonts w:asciiTheme="majorHAnsi" w:hAnsiTheme="majorHAnsi" w:cstheme="majorHAnsi"/>
          <w:b/>
          <w:bCs/>
          <w:color w:val="5F497A" w:themeColor="accent4" w:themeShade="BF"/>
          <w:sz w:val="28"/>
          <w:szCs w:val="28"/>
          <w:u w:val="single"/>
        </w:rPr>
        <w:t xml:space="preserve"> </w:t>
      </w:r>
      <w:r w:rsidRPr="00B40537">
        <w:rPr>
          <w:rFonts w:asciiTheme="majorHAnsi" w:hAnsiTheme="majorHAnsi" w:cstheme="majorHAnsi"/>
          <w:bCs/>
          <w:sz w:val="24"/>
          <w:szCs w:val="24"/>
        </w:rPr>
        <w:t>Our commitment to the local borough is substantial, solidifying our role as a significant local employer and champion of voluntary service.</w:t>
      </w:r>
    </w:p>
    <w:p w14:paraId="55BA9453" w14:textId="77777777" w:rsidR="00B37EA3" w:rsidRPr="00B40537" w:rsidRDefault="00B37EA3">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color w:val="5F497A" w:themeColor="accent4" w:themeShade="BF"/>
          <w:sz w:val="24"/>
          <w:szCs w:val="24"/>
          <w:u w:val="single"/>
        </w:rPr>
        <w:t>Significant Employer:</w:t>
      </w:r>
      <w:r w:rsidRPr="00B40537">
        <w:rPr>
          <w:rFonts w:asciiTheme="majorHAnsi" w:hAnsiTheme="majorHAnsi" w:cstheme="majorHAnsi"/>
          <w:b/>
          <w:bCs/>
          <w:color w:val="5F497A" w:themeColor="accent4" w:themeShade="BF"/>
          <w:sz w:val="28"/>
          <w:szCs w:val="28"/>
          <w:u w:val="single"/>
        </w:rPr>
        <w:t xml:space="preserve"> </w:t>
      </w:r>
      <w:r w:rsidRPr="00B40537">
        <w:rPr>
          <w:rFonts w:asciiTheme="majorHAnsi" w:hAnsiTheme="majorHAnsi" w:cstheme="majorHAnsi"/>
          <w:bCs/>
          <w:sz w:val="24"/>
          <w:szCs w:val="24"/>
        </w:rPr>
        <w:t>We are proud to be recognized as the second-largest voluntary sector employer in the borough. This not only provides stable, local jobs but also contributes directly to the regional economy.</w:t>
      </w:r>
      <w:r w:rsidRPr="00B40537">
        <w:rPr>
          <w:rFonts w:asciiTheme="majorHAnsi" w:hAnsiTheme="majorHAnsi" w:cstheme="majorHAnsi"/>
          <w:b/>
          <w:bCs/>
          <w:sz w:val="28"/>
          <w:szCs w:val="28"/>
          <w:u w:val="single"/>
        </w:rPr>
        <w:t xml:space="preserve"> </w:t>
      </w:r>
    </w:p>
    <w:p w14:paraId="71D9072C" w14:textId="77777777" w:rsidR="00B37EA3" w:rsidRPr="00B40537" w:rsidRDefault="00B37EA3">
      <w:pPr>
        <w:rPr>
          <w:rFonts w:asciiTheme="majorHAnsi" w:hAnsiTheme="majorHAnsi" w:cstheme="majorHAnsi"/>
          <w:b/>
          <w:bCs/>
          <w:sz w:val="24"/>
          <w:szCs w:val="24"/>
          <w:u w:val="single"/>
        </w:rPr>
      </w:pPr>
      <w:r w:rsidRPr="00B40537">
        <w:rPr>
          <w:rFonts w:asciiTheme="majorHAnsi" w:hAnsiTheme="majorHAnsi" w:cstheme="majorHAnsi"/>
          <w:b/>
          <w:bCs/>
          <w:color w:val="5F497A" w:themeColor="accent4" w:themeShade="BF"/>
          <w:sz w:val="24"/>
          <w:szCs w:val="24"/>
          <w:u w:val="single"/>
        </w:rPr>
        <w:t>Skill Developm</w:t>
      </w:r>
      <w:r w:rsidR="00EA46C9" w:rsidRPr="00B40537">
        <w:rPr>
          <w:rFonts w:asciiTheme="majorHAnsi" w:hAnsiTheme="majorHAnsi" w:cstheme="majorHAnsi"/>
          <w:b/>
          <w:bCs/>
          <w:color w:val="5F497A" w:themeColor="accent4" w:themeShade="BF"/>
          <w:sz w:val="24"/>
          <w:szCs w:val="24"/>
          <w:u w:val="single"/>
        </w:rPr>
        <w:t xml:space="preserve">ent and Pathways to Employment: </w:t>
      </w:r>
      <w:r w:rsidRPr="00B40537">
        <w:rPr>
          <w:rFonts w:asciiTheme="majorHAnsi" w:hAnsiTheme="majorHAnsi" w:cstheme="majorHAnsi"/>
          <w:bCs/>
          <w:sz w:val="24"/>
          <w:szCs w:val="24"/>
        </w:rPr>
        <w:t xml:space="preserve">We actively provide support and opportunities for people seeking employment. This includes: </w:t>
      </w:r>
    </w:p>
    <w:p w14:paraId="2DF506B7" w14:textId="77777777" w:rsidR="00B37EA3" w:rsidRPr="00B40537" w:rsidRDefault="00B37EA3" w:rsidP="00EA46C9">
      <w:pPr>
        <w:pStyle w:val="ListParagraph"/>
        <w:numPr>
          <w:ilvl w:val="0"/>
          <w:numId w:val="26"/>
        </w:numPr>
        <w:ind w:left="360"/>
        <w:rPr>
          <w:rFonts w:asciiTheme="majorHAnsi" w:hAnsiTheme="majorHAnsi" w:cstheme="majorHAnsi"/>
          <w:b/>
          <w:bCs/>
          <w:sz w:val="28"/>
          <w:szCs w:val="28"/>
          <w:u w:val="single"/>
        </w:rPr>
      </w:pPr>
      <w:r w:rsidRPr="00B40537">
        <w:rPr>
          <w:rFonts w:asciiTheme="majorHAnsi" w:hAnsiTheme="majorHAnsi" w:cstheme="majorHAnsi"/>
          <w:bCs/>
          <w:sz w:val="24"/>
          <w:szCs w:val="24"/>
        </w:rPr>
        <w:t>Offering work placements, internships, and skill-building volunteer roles.</w:t>
      </w:r>
      <w:r w:rsidRPr="00B40537">
        <w:rPr>
          <w:rFonts w:asciiTheme="majorHAnsi" w:hAnsiTheme="majorHAnsi" w:cstheme="majorHAnsi"/>
          <w:b/>
          <w:bCs/>
          <w:sz w:val="28"/>
          <w:szCs w:val="28"/>
          <w:u w:val="single"/>
        </w:rPr>
        <w:t xml:space="preserve"> </w:t>
      </w:r>
    </w:p>
    <w:p w14:paraId="2C0F6B54" w14:textId="77777777" w:rsidR="00B37EA3" w:rsidRPr="00B40537" w:rsidRDefault="00B37EA3" w:rsidP="00EA46C9">
      <w:pPr>
        <w:pStyle w:val="ListParagraph"/>
        <w:numPr>
          <w:ilvl w:val="0"/>
          <w:numId w:val="25"/>
        </w:numPr>
        <w:ind w:left="360"/>
        <w:rPr>
          <w:rFonts w:asciiTheme="majorHAnsi" w:hAnsiTheme="majorHAnsi" w:cstheme="majorHAnsi"/>
          <w:b/>
          <w:bCs/>
          <w:sz w:val="28"/>
          <w:szCs w:val="28"/>
          <w:u w:val="single"/>
        </w:rPr>
      </w:pPr>
      <w:r w:rsidRPr="00B40537">
        <w:rPr>
          <w:rFonts w:asciiTheme="majorHAnsi" w:hAnsiTheme="majorHAnsi" w:cstheme="majorHAnsi"/>
          <w:bCs/>
          <w:sz w:val="24"/>
          <w:szCs w:val="24"/>
        </w:rPr>
        <w:t xml:space="preserve">Providing references and mentorship to help individuals transition into paid employment. </w:t>
      </w:r>
    </w:p>
    <w:p w14:paraId="66954EFA" w14:textId="77777777" w:rsidR="00B37EA3" w:rsidRPr="00B40537" w:rsidRDefault="00B37EA3" w:rsidP="00EA46C9">
      <w:pPr>
        <w:pStyle w:val="ListParagraph"/>
        <w:numPr>
          <w:ilvl w:val="0"/>
          <w:numId w:val="25"/>
        </w:numPr>
        <w:ind w:left="360"/>
        <w:rPr>
          <w:rFonts w:asciiTheme="majorHAnsi" w:hAnsiTheme="majorHAnsi" w:cstheme="majorHAnsi"/>
          <w:b/>
          <w:bCs/>
          <w:sz w:val="28"/>
          <w:szCs w:val="28"/>
          <w:u w:val="single"/>
        </w:rPr>
      </w:pPr>
      <w:r w:rsidRPr="00B40537">
        <w:rPr>
          <w:rFonts w:asciiTheme="majorHAnsi" w:hAnsiTheme="majorHAnsi" w:cstheme="majorHAnsi"/>
          <w:bCs/>
          <w:sz w:val="24"/>
          <w:szCs w:val="24"/>
        </w:rPr>
        <w:lastRenderedPageBreak/>
        <w:t>Volunteer Opportunities: Our extensive group of volunteers is the lifeblood of our organization, fostering strong community connections and providing invaluable skills and experience to hundreds of residents.</w:t>
      </w:r>
      <w:r w:rsidRPr="00B40537">
        <w:rPr>
          <w:rFonts w:asciiTheme="majorHAnsi" w:hAnsiTheme="majorHAnsi" w:cstheme="majorHAnsi"/>
          <w:b/>
          <w:bCs/>
          <w:sz w:val="28"/>
          <w:szCs w:val="28"/>
          <w:u w:val="single"/>
        </w:rPr>
        <w:t xml:space="preserve"> </w:t>
      </w:r>
    </w:p>
    <w:p w14:paraId="0903C861" w14:textId="77777777" w:rsidR="00B37EA3" w:rsidRPr="00B40537" w:rsidRDefault="00B37EA3" w:rsidP="00B37EA3">
      <w:pPr>
        <w:rPr>
          <w:rFonts w:asciiTheme="majorHAnsi" w:hAnsiTheme="majorHAnsi" w:cstheme="majorHAnsi"/>
          <w:b/>
          <w:bCs/>
          <w:color w:val="5F497A" w:themeColor="accent4" w:themeShade="BF"/>
          <w:sz w:val="24"/>
          <w:szCs w:val="24"/>
          <w:u w:val="single"/>
        </w:rPr>
      </w:pPr>
      <w:r w:rsidRPr="00B40537">
        <w:rPr>
          <w:rFonts w:ascii="Segoe UI Symbol" w:hAnsi="Segoe UI Symbol" w:cs="Segoe UI Symbol"/>
          <w:b/>
          <w:bCs/>
          <w:color w:val="5F497A" w:themeColor="accent4" w:themeShade="BF"/>
          <w:sz w:val="24"/>
          <w:szCs w:val="24"/>
          <w:u w:val="single"/>
        </w:rPr>
        <w:t>♻</w:t>
      </w:r>
      <w:r w:rsidRPr="00B40537">
        <w:rPr>
          <w:rFonts w:asciiTheme="majorHAnsi" w:hAnsiTheme="majorHAnsi" w:cstheme="majorHAnsi"/>
          <w:b/>
          <w:bCs/>
          <w:color w:val="5F497A" w:themeColor="accent4" w:themeShade="BF"/>
          <w:sz w:val="24"/>
          <w:szCs w:val="24"/>
          <w:u w:val="single"/>
        </w:rPr>
        <w:t>️ Environment</w:t>
      </w:r>
      <w:r w:rsidR="00EA46C9" w:rsidRPr="00B40537">
        <w:rPr>
          <w:rFonts w:asciiTheme="majorHAnsi" w:hAnsiTheme="majorHAnsi" w:cstheme="majorHAnsi"/>
          <w:b/>
          <w:bCs/>
          <w:color w:val="5F497A" w:themeColor="accent4" w:themeShade="BF"/>
          <w:sz w:val="24"/>
          <w:szCs w:val="24"/>
          <w:u w:val="single"/>
        </w:rPr>
        <w:t>al Sustainability and Recycling:</w:t>
      </w:r>
      <w:r w:rsidR="00EA46C9" w:rsidRPr="00B40537">
        <w:rPr>
          <w:rFonts w:asciiTheme="majorHAnsi" w:hAnsiTheme="majorHAnsi" w:cstheme="majorHAnsi"/>
          <w:bCs/>
          <w:color w:val="5F497A" w:themeColor="accent4" w:themeShade="BF"/>
          <w:sz w:val="24"/>
          <w:szCs w:val="24"/>
        </w:rPr>
        <w:t xml:space="preserve"> </w:t>
      </w:r>
      <w:r w:rsidRPr="00B40537">
        <w:rPr>
          <w:rFonts w:asciiTheme="majorHAnsi" w:hAnsiTheme="majorHAnsi" w:cstheme="majorHAnsi"/>
          <w:bCs/>
          <w:sz w:val="24"/>
          <w:szCs w:val="24"/>
        </w:rPr>
        <w:t xml:space="preserve">Our charity shops serve as crucial hubs for promoting sustainability and responsible consumption, minimizing waste in the local area. </w:t>
      </w:r>
    </w:p>
    <w:p w14:paraId="712AF8DE" w14:textId="77777777" w:rsidR="00B37EA3" w:rsidRPr="00B40537" w:rsidRDefault="00B37EA3" w:rsidP="00B37EA3">
      <w:pPr>
        <w:pStyle w:val="ListParagraph"/>
        <w:numPr>
          <w:ilvl w:val="0"/>
          <w:numId w:val="27"/>
        </w:numPr>
        <w:rPr>
          <w:rFonts w:asciiTheme="majorHAnsi" w:hAnsiTheme="majorHAnsi" w:cstheme="majorHAnsi"/>
          <w:bCs/>
          <w:sz w:val="24"/>
          <w:szCs w:val="24"/>
        </w:rPr>
      </w:pPr>
      <w:r w:rsidRPr="00B40537">
        <w:rPr>
          <w:rFonts w:asciiTheme="majorHAnsi" w:hAnsiTheme="majorHAnsi" w:cstheme="majorHAnsi"/>
          <w:bCs/>
          <w:sz w:val="24"/>
          <w:szCs w:val="24"/>
        </w:rPr>
        <w:t xml:space="preserve">Promoting Circular Economy: Through the donation and resale of goods, our shops facilitate a circular economy, ensuring items are reused rather than sent to landfill. </w:t>
      </w:r>
    </w:p>
    <w:p w14:paraId="189A4F5E" w14:textId="77777777" w:rsidR="00B37EA3" w:rsidRPr="00B40537" w:rsidRDefault="00B37EA3" w:rsidP="00EA46C9">
      <w:pPr>
        <w:rPr>
          <w:rFonts w:asciiTheme="majorHAnsi" w:hAnsiTheme="majorHAnsi" w:cstheme="majorHAnsi"/>
          <w:bCs/>
          <w:sz w:val="24"/>
          <w:szCs w:val="24"/>
        </w:rPr>
      </w:pPr>
      <w:r w:rsidRPr="00B40537">
        <w:rPr>
          <w:rFonts w:asciiTheme="majorHAnsi" w:hAnsiTheme="majorHAnsi" w:cstheme="majorHAnsi"/>
          <w:b/>
          <w:bCs/>
          <w:color w:val="5F497A" w:themeColor="accent4" w:themeShade="BF"/>
          <w:sz w:val="24"/>
          <w:szCs w:val="24"/>
          <w:u w:val="single"/>
        </w:rPr>
        <w:t>Corporate Social Responsibility (CSR) Partnerships</w:t>
      </w:r>
      <w:r w:rsidR="00EA46C9" w:rsidRPr="00B40537">
        <w:rPr>
          <w:rFonts w:asciiTheme="majorHAnsi" w:hAnsiTheme="majorHAnsi" w:cstheme="majorHAnsi"/>
          <w:bCs/>
          <w:color w:val="5F497A" w:themeColor="accent4" w:themeShade="BF"/>
          <w:sz w:val="24"/>
          <w:szCs w:val="24"/>
        </w:rPr>
        <w:t xml:space="preserve">: </w:t>
      </w:r>
      <w:r w:rsidRPr="00B40537">
        <w:rPr>
          <w:rFonts w:asciiTheme="majorHAnsi" w:hAnsiTheme="majorHAnsi" w:cstheme="majorHAnsi"/>
          <w:bCs/>
          <w:sz w:val="24"/>
          <w:szCs w:val="24"/>
        </w:rPr>
        <w:t xml:space="preserve">We actively collaborate with local businesses to help them meet their Corporate Social Responsibility objectives, fostering meaningful connections between the private sector and community needs. </w:t>
      </w:r>
    </w:p>
    <w:p w14:paraId="72E38038" w14:textId="77777777" w:rsidR="00EA46C9" w:rsidRPr="00B40537" w:rsidRDefault="00B37EA3" w:rsidP="00B37EA3">
      <w:pPr>
        <w:pStyle w:val="ListParagraph"/>
        <w:numPr>
          <w:ilvl w:val="0"/>
          <w:numId w:val="27"/>
        </w:numPr>
        <w:rPr>
          <w:rFonts w:asciiTheme="majorHAnsi" w:hAnsiTheme="majorHAnsi" w:cstheme="majorHAnsi"/>
          <w:bCs/>
          <w:sz w:val="24"/>
          <w:szCs w:val="24"/>
        </w:rPr>
      </w:pPr>
      <w:r w:rsidRPr="00B40537">
        <w:rPr>
          <w:rFonts w:asciiTheme="majorHAnsi" w:hAnsiTheme="majorHAnsi" w:cstheme="majorHAnsi"/>
          <w:bCs/>
          <w:sz w:val="24"/>
          <w:szCs w:val="24"/>
        </w:rPr>
        <w:t xml:space="preserve">Corporate Volunteering Days: We organize and host corporate volunteering days, providing local business employees with opportunities to: </w:t>
      </w:r>
    </w:p>
    <w:p w14:paraId="1CBAD197" w14:textId="77777777" w:rsidR="00EA46C9" w:rsidRPr="00B40537" w:rsidRDefault="00B37EA3" w:rsidP="00EA46C9">
      <w:pPr>
        <w:pStyle w:val="ListParagraph"/>
        <w:numPr>
          <w:ilvl w:val="1"/>
          <w:numId w:val="27"/>
        </w:numPr>
        <w:rPr>
          <w:rFonts w:asciiTheme="majorHAnsi" w:hAnsiTheme="majorHAnsi" w:cstheme="majorHAnsi"/>
          <w:bCs/>
          <w:sz w:val="24"/>
          <w:szCs w:val="24"/>
        </w:rPr>
      </w:pPr>
      <w:r w:rsidRPr="00B40537">
        <w:rPr>
          <w:rFonts w:asciiTheme="majorHAnsi" w:hAnsiTheme="majorHAnsi" w:cstheme="majorHAnsi"/>
          <w:bCs/>
          <w:sz w:val="24"/>
          <w:szCs w:val="24"/>
        </w:rPr>
        <w:t xml:space="preserve">Engage directly with community needs. </w:t>
      </w:r>
    </w:p>
    <w:p w14:paraId="46076167" w14:textId="77777777" w:rsidR="00B37EA3" w:rsidRPr="00B40537" w:rsidRDefault="00B37EA3" w:rsidP="00EA46C9">
      <w:pPr>
        <w:pStyle w:val="ListParagraph"/>
        <w:numPr>
          <w:ilvl w:val="1"/>
          <w:numId w:val="27"/>
        </w:numPr>
        <w:rPr>
          <w:rFonts w:asciiTheme="majorHAnsi" w:hAnsiTheme="majorHAnsi" w:cstheme="majorHAnsi"/>
          <w:bCs/>
          <w:sz w:val="24"/>
          <w:szCs w:val="24"/>
        </w:rPr>
      </w:pPr>
      <w:r w:rsidRPr="00B40537">
        <w:rPr>
          <w:rFonts w:asciiTheme="majorHAnsi" w:hAnsiTheme="majorHAnsi" w:cstheme="majorHAnsi"/>
          <w:bCs/>
          <w:sz w:val="24"/>
          <w:szCs w:val="24"/>
        </w:rPr>
        <w:t xml:space="preserve">Undertake practical tasks that support the hospice environment (e.g., gardening, painting, </w:t>
      </w:r>
      <w:r w:rsidR="00EA46C9" w:rsidRPr="00B40537">
        <w:rPr>
          <w:rFonts w:asciiTheme="majorHAnsi" w:hAnsiTheme="majorHAnsi" w:cstheme="majorHAnsi"/>
          <w:bCs/>
          <w:sz w:val="24"/>
          <w:szCs w:val="24"/>
        </w:rPr>
        <w:t>and organizing</w:t>
      </w:r>
      <w:r w:rsidRPr="00B40537">
        <w:rPr>
          <w:rFonts w:asciiTheme="majorHAnsi" w:hAnsiTheme="majorHAnsi" w:cstheme="majorHAnsi"/>
          <w:bCs/>
          <w:sz w:val="24"/>
          <w:szCs w:val="24"/>
        </w:rPr>
        <w:t>).</w:t>
      </w:r>
    </w:p>
    <w:p w14:paraId="24307434" w14:textId="77777777" w:rsidR="00B37EA3" w:rsidRPr="00B40537" w:rsidRDefault="00B37EA3">
      <w:pPr>
        <w:rPr>
          <w:rFonts w:asciiTheme="majorHAnsi" w:hAnsiTheme="majorHAnsi" w:cstheme="majorHAnsi"/>
          <w:bCs/>
          <w:sz w:val="24"/>
          <w:szCs w:val="24"/>
        </w:rPr>
      </w:pPr>
      <w:r w:rsidRPr="00B40537">
        <w:rPr>
          <w:rFonts w:asciiTheme="majorHAnsi" w:hAnsiTheme="majorHAnsi" w:cstheme="majorHAnsi"/>
          <w:b/>
          <w:bCs/>
          <w:color w:val="5F497A" w:themeColor="accent4" w:themeShade="BF"/>
          <w:sz w:val="24"/>
          <w:szCs w:val="24"/>
          <w:u w:val="single"/>
        </w:rPr>
        <w:t>Mutually Beneficial Engagement:</w:t>
      </w:r>
      <w:r w:rsidRPr="00B40537">
        <w:rPr>
          <w:rFonts w:asciiTheme="majorHAnsi" w:hAnsiTheme="majorHAnsi" w:cstheme="majorHAnsi"/>
          <w:b/>
          <w:bCs/>
          <w:color w:val="5F497A" w:themeColor="accent4" w:themeShade="BF"/>
          <w:sz w:val="28"/>
          <w:szCs w:val="28"/>
          <w:u w:val="single"/>
        </w:rPr>
        <w:t xml:space="preserve"> </w:t>
      </w:r>
      <w:r w:rsidRPr="00B40537">
        <w:rPr>
          <w:rFonts w:asciiTheme="majorHAnsi" w:hAnsiTheme="majorHAnsi" w:cstheme="majorHAnsi"/>
          <w:bCs/>
          <w:sz w:val="24"/>
          <w:szCs w:val="24"/>
        </w:rPr>
        <w:t xml:space="preserve">These partnerships not only provide essential support to the hospice but also allow businesses to visibly demonstrate their commitment to the local community, boosting employee morale and social capital. </w:t>
      </w:r>
    </w:p>
    <w:p w14:paraId="71E6A2D0" w14:textId="77777777" w:rsidR="00B37EA3" w:rsidRPr="00B40537" w:rsidRDefault="00B37EA3">
      <w:pPr>
        <w:rPr>
          <w:rFonts w:asciiTheme="majorHAnsi" w:hAnsiTheme="majorHAnsi" w:cstheme="majorHAnsi"/>
          <w:b/>
          <w:bCs/>
          <w:color w:val="5F497A" w:themeColor="accent4" w:themeShade="BF"/>
          <w:sz w:val="28"/>
          <w:szCs w:val="28"/>
          <w:u w:val="single"/>
        </w:rPr>
      </w:pPr>
      <w:r w:rsidRPr="00B40537">
        <w:rPr>
          <w:rFonts w:ascii="Segoe UI Symbol" w:hAnsi="Segoe UI Symbol" w:cs="Segoe UI Symbol"/>
          <w:b/>
          <w:bCs/>
          <w:color w:val="5F497A" w:themeColor="accent4" w:themeShade="BF"/>
          <w:sz w:val="24"/>
          <w:szCs w:val="24"/>
          <w:u w:val="single"/>
        </w:rPr>
        <w:t>🛍</w:t>
      </w:r>
      <w:r w:rsidRPr="00B40537">
        <w:rPr>
          <w:rFonts w:asciiTheme="majorHAnsi" w:hAnsiTheme="majorHAnsi" w:cstheme="majorHAnsi"/>
          <w:b/>
          <w:bCs/>
          <w:color w:val="5F497A" w:themeColor="accent4" w:themeShade="BF"/>
          <w:sz w:val="24"/>
          <w:szCs w:val="24"/>
          <w:u w:val="single"/>
        </w:rPr>
        <w:t>️ Financial Contribution</w:t>
      </w:r>
      <w:r w:rsidR="00EA46C9" w:rsidRPr="00B40537">
        <w:rPr>
          <w:rFonts w:asciiTheme="majorHAnsi" w:hAnsiTheme="majorHAnsi" w:cstheme="majorHAnsi"/>
          <w:b/>
          <w:bCs/>
          <w:color w:val="5F497A" w:themeColor="accent4" w:themeShade="BF"/>
          <w:sz w:val="24"/>
          <w:szCs w:val="24"/>
          <w:u w:val="single"/>
        </w:rPr>
        <w:t>:</w:t>
      </w:r>
      <w:r w:rsidRPr="00B40537">
        <w:rPr>
          <w:rFonts w:asciiTheme="majorHAnsi" w:hAnsiTheme="majorHAnsi" w:cstheme="majorHAnsi"/>
          <w:b/>
          <w:bCs/>
          <w:color w:val="5F497A" w:themeColor="accent4" w:themeShade="BF"/>
          <w:sz w:val="28"/>
          <w:szCs w:val="28"/>
          <w:u w:val="single"/>
        </w:rPr>
        <w:t xml:space="preserve"> </w:t>
      </w:r>
      <w:r w:rsidRPr="00B40537">
        <w:rPr>
          <w:rFonts w:asciiTheme="majorHAnsi" w:hAnsiTheme="majorHAnsi" w:cstheme="majorHAnsi"/>
          <w:bCs/>
          <w:sz w:val="24"/>
          <w:szCs w:val="24"/>
        </w:rPr>
        <w:t xml:space="preserve">through Charity Shops Our charity shops are a recognizable local presence, generating significant funds that are reinvested directly back into patient care services. </w:t>
      </w:r>
    </w:p>
    <w:p w14:paraId="3801010C" w14:textId="77777777" w:rsidR="00B37EA3" w:rsidRPr="00B40537" w:rsidRDefault="00B37EA3">
      <w:pPr>
        <w:rPr>
          <w:rFonts w:asciiTheme="majorHAnsi" w:hAnsiTheme="majorHAnsi" w:cstheme="majorHAnsi"/>
          <w:b/>
          <w:bCs/>
          <w:color w:val="5F497A" w:themeColor="accent4" w:themeShade="BF"/>
          <w:sz w:val="24"/>
          <w:szCs w:val="24"/>
          <w:u w:val="single"/>
        </w:rPr>
      </w:pPr>
      <w:r w:rsidRPr="00B40537">
        <w:rPr>
          <w:rFonts w:asciiTheme="majorHAnsi" w:hAnsiTheme="majorHAnsi" w:cstheme="majorHAnsi"/>
          <w:b/>
          <w:bCs/>
          <w:color w:val="5F497A" w:themeColor="accent4" w:themeShade="BF"/>
          <w:sz w:val="24"/>
          <w:szCs w:val="24"/>
          <w:u w:val="single"/>
        </w:rPr>
        <w:t xml:space="preserve">Community Hubs: </w:t>
      </w:r>
      <w:r w:rsidRPr="00B40537">
        <w:rPr>
          <w:rFonts w:asciiTheme="majorHAnsi" w:hAnsiTheme="majorHAnsi" w:cstheme="majorHAnsi"/>
          <w:bCs/>
          <w:sz w:val="24"/>
          <w:szCs w:val="24"/>
        </w:rPr>
        <w:t>Our shops act as local gathering points, fostering a sense of community engagement and shared purpose.</w:t>
      </w:r>
      <w:r w:rsidRPr="00B40537">
        <w:rPr>
          <w:rFonts w:asciiTheme="majorHAnsi" w:hAnsiTheme="majorHAnsi" w:cstheme="majorHAnsi"/>
          <w:b/>
          <w:bCs/>
          <w:sz w:val="24"/>
          <w:szCs w:val="24"/>
          <w:u w:val="single"/>
        </w:rPr>
        <w:t xml:space="preserve"> </w:t>
      </w:r>
    </w:p>
    <w:p w14:paraId="1991EA06" w14:textId="77777777" w:rsidR="00B37EA3" w:rsidRPr="00B40537" w:rsidRDefault="00B37EA3">
      <w:pPr>
        <w:rPr>
          <w:rFonts w:asciiTheme="majorHAnsi" w:hAnsiTheme="majorHAnsi" w:cstheme="majorHAnsi"/>
          <w:b/>
          <w:bCs/>
          <w:color w:val="5F497A" w:themeColor="accent4" w:themeShade="BF"/>
          <w:sz w:val="28"/>
          <w:szCs w:val="28"/>
          <w:u w:val="single"/>
        </w:rPr>
      </w:pPr>
      <w:r w:rsidRPr="00B40537">
        <w:rPr>
          <w:rFonts w:asciiTheme="majorHAnsi" w:hAnsiTheme="majorHAnsi" w:cstheme="majorHAnsi"/>
          <w:b/>
          <w:bCs/>
          <w:color w:val="5F497A" w:themeColor="accent4" w:themeShade="BF"/>
          <w:sz w:val="24"/>
          <w:szCs w:val="24"/>
          <w:u w:val="single"/>
        </w:rPr>
        <w:t xml:space="preserve">Reinvestment: </w:t>
      </w:r>
      <w:r w:rsidRPr="00B40537">
        <w:rPr>
          <w:rFonts w:asciiTheme="majorHAnsi" w:hAnsiTheme="majorHAnsi" w:cstheme="majorHAnsi"/>
          <w:bCs/>
          <w:sz w:val="24"/>
          <w:szCs w:val="24"/>
        </w:rPr>
        <w:t>All proceeds from our charity shops are used to fund and enhance the specialist palliative and end-of-life care we provide to residents across the borough</w:t>
      </w:r>
    </w:p>
    <w:p w14:paraId="0DCBB8A8" w14:textId="77777777" w:rsidR="00E87D50" w:rsidRPr="00B40537" w:rsidRDefault="00B603D6" w:rsidP="008C6D5C">
      <w:pPr>
        <w:pStyle w:val="MainLevel"/>
      </w:pPr>
      <w:bookmarkStart w:id="42" w:name="_Toc216792811"/>
      <w:r w:rsidRPr="00B40537">
        <w:t>Patient Care Support Services</w:t>
      </w:r>
      <w:bookmarkEnd w:id="42"/>
    </w:p>
    <w:p w14:paraId="5B77BBA7" w14:textId="77777777" w:rsidR="00E87D50" w:rsidRPr="00B40537" w:rsidRDefault="00B603D6" w:rsidP="008C6D5C">
      <w:pPr>
        <w:pStyle w:val="Level1"/>
        <w:outlineLvl w:val="1"/>
      </w:pPr>
      <w:bookmarkStart w:id="43" w:name="_Toc216792812"/>
      <w:r w:rsidRPr="00B40537">
        <w:t>Facilities</w:t>
      </w:r>
      <w:bookmarkEnd w:id="43"/>
      <w:r w:rsidRPr="00B40537">
        <w:t xml:space="preserve"> </w:t>
      </w:r>
    </w:p>
    <w:p w14:paraId="1B66DF78" w14:textId="77777777" w:rsidR="00E87D50" w:rsidRPr="00B40537" w:rsidRDefault="00B603D6">
      <w:pPr>
        <w:spacing w:after="0"/>
        <w:rPr>
          <w:rFonts w:asciiTheme="majorHAnsi" w:hAnsiTheme="majorHAnsi" w:cstheme="majorHAnsi"/>
          <w:sz w:val="24"/>
          <w:szCs w:val="24"/>
        </w:rPr>
      </w:pPr>
      <w:r w:rsidRPr="00B40537">
        <w:rPr>
          <w:rFonts w:asciiTheme="majorHAnsi" w:hAnsiTheme="majorHAnsi" w:cstheme="majorHAnsi"/>
          <w:sz w:val="24"/>
          <w:szCs w:val="24"/>
        </w:rPr>
        <w:t>At Bury Hospice, the Facilities Team ensures the hospice runs smoothly and safely. Their duties include:</w:t>
      </w:r>
    </w:p>
    <w:p w14:paraId="5497C45A" w14:textId="77777777" w:rsidR="00E87D50" w:rsidRPr="00B40537" w:rsidRDefault="00B603D6" w:rsidP="008C6D5C">
      <w:pPr>
        <w:pStyle w:val="ListParagraph"/>
        <w:numPr>
          <w:ilvl w:val="0"/>
          <w:numId w:val="12"/>
        </w:numPr>
        <w:rPr>
          <w:rFonts w:asciiTheme="majorHAnsi" w:hAnsiTheme="majorHAnsi" w:cstheme="majorHAnsi"/>
          <w:sz w:val="24"/>
          <w:szCs w:val="24"/>
        </w:rPr>
      </w:pPr>
      <w:r w:rsidRPr="00B40537">
        <w:rPr>
          <w:rFonts w:asciiTheme="majorHAnsi" w:hAnsiTheme="majorHAnsi" w:cstheme="majorHAnsi"/>
          <w:sz w:val="24"/>
          <w:szCs w:val="24"/>
        </w:rPr>
        <w:t>Building maintenance – repairs and upkeep of the hospice.</w:t>
      </w:r>
    </w:p>
    <w:p w14:paraId="5D548EA7" w14:textId="77777777" w:rsidR="00E87D50" w:rsidRPr="00B40537" w:rsidRDefault="00B603D6" w:rsidP="008C6D5C">
      <w:pPr>
        <w:pStyle w:val="ListParagraph"/>
        <w:numPr>
          <w:ilvl w:val="0"/>
          <w:numId w:val="12"/>
        </w:numPr>
        <w:rPr>
          <w:rFonts w:asciiTheme="majorHAnsi" w:hAnsiTheme="majorHAnsi" w:cstheme="majorHAnsi"/>
          <w:sz w:val="24"/>
          <w:szCs w:val="24"/>
        </w:rPr>
      </w:pPr>
      <w:r w:rsidRPr="00B40537">
        <w:rPr>
          <w:rFonts w:asciiTheme="majorHAnsi" w:hAnsiTheme="majorHAnsi" w:cstheme="majorHAnsi"/>
          <w:sz w:val="24"/>
          <w:szCs w:val="24"/>
        </w:rPr>
        <w:t>Health and safety – keeping the environment safe and compliant.</w:t>
      </w:r>
    </w:p>
    <w:p w14:paraId="0FF19455" w14:textId="77777777" w:rsidR="00E87D50" w:rsidRPr="00B40537" w:rsidRDefault="00B603D6" w:rsidP="008C6D5C">
      <w:pPr>
        <w:pStyle w:val="ListParagraph"/>
        <w:numPr>
          <w:ilvl w:val="0"/>
          <w:numId w:val="12"/>
        </w:numPr>
        <w:rPr>
          <w:rFonts w:asciiTheme="majorHAnsi" w:hAnsiTheme="majorHAnsi" w:cstheme="majorHAnsi"/>
          <w:sz w:val="24"/>
          <w:szCs w:val="24"/>
        </w:rPr>
      </w:pPr>
      <w:r w:rsidRPr="00B40537">
        <w:rPr>
          <w:rFonts w:asciiTheme="majorHAnsi" w:hAnsiTheme="majorHAnsi" w:cstheme="majorHAnsi"/>
          <w:sz w:val="24"/>
          <w:szCs w:val="24"/>
        </w:rPr>
        <w:t>Fleet and equipment management – maintaining vehicles and essential equipment.</w:t>
      </w:r>
    </w:p>
    <w:p w14:paraId="055F336F" w14:textId="6BD3A84B" w:rsidR="00E87D50" w:rsidRPr="008C6D5C" w:rsidRDefault="00B603D6" w:rsidP="008C6D5C">
      <w:pPr>
        <w:pStyle w:val="ListParagraph"/>
        <w:numPr>
          <w:ilvl w:val="0"/>
          <w:numId w:val="12"/>
        </w:numPr>
        <w:spacing w:after="0"/>
        <w:rPr>
          <w:rFonts w:asciiTheme="majorHAnsi" w:hAnsiTheme="majorHAnsi" w:cstheme="majorHAnsi"/>
          <w:sz w:val="24"/>
          <w:szCs w:val="24"/>
        </w:rPr>
      </w:pPr>
      <w:r w:rsidRPr="00B40537">
        <w:rPr>
          <w:rFonts w:asciiTheme="majorHAnsi" w:hAnsiTheme="majorHAnsi" w:cstheme="majorHAnsi"/>
          <w:sz w:val="24"/>
          <w:szCs w:val="24"/>
        </w:rPr>
        <w:t>Contractor coordination – overseeing external work and installations.</w:t>
      </w:r>
    </w:p>
    <w:p w14:paraId="5A7331B1" w14:textId="41A87DAE" w:rsidR="00E87D50" w:rsidRPr="008C6D5C" w:rsidRDefault="00B603D6">
      <w:pPr>
        <w:spacing w:after="0" w:line="240" w:lineRule="auto"/>
        <w:rPr>
          <w:rFonts w:asciiTheme="majorHAnsi" w:hAnsiTheme="majorHAnsi" w:cstheme="majorHAnsi"/>
          <w:sz w:val="24"/>
          <w:szCs w:val="24"/>
        </w:rPr>
      </w:pPr>
      <w:r w:rsidRPr="00B40537">
        <w:rPr>
          <w:rFonts w:asciiTheme="majorHAnsi" w:hAnsiTheme="majorHAnsi" w:cstheme="majorHAnsi"/>
          <w:sz w:val="24"/>
          <w:szCs w:val="24"/>
        </w:rPr>
        <w:lastRenderedPageBreak/>
        <w:t>They help create a safe, comfortable environment for patients, staff, and visitors</w:t>
      </w:r>
    </w:p>
    <w:p w14:paraId="1046281F" w14:textId="77777777" w:rsidR="00E87D50" w:rsidRPr="00B40537" w:rsidRDefault="00B603D6" w:rsidP="008C6D5C">
      <w:pPr>
        <w:pStyle w:val="Level1"/>
        <w:outlineLvl w:val="1"/>
      </w:pPr>
      <w:bookmarkStart w:id="44" w:name="_Toc216792813"/>
      <w:r w:rsidRPr="00B40537">
        <w:t>Housekeeping Team</w:t>
      </w:r>
      <w:bookmarkEnd w:id="44"/>
      <w:r w:rsidRPr="00B40537">
        <w:t xml:space="preserve"> </w:t>
      </w:r>
    </w:p>
    <w:p w14:paraId="6E7DF86A" w14:textId="77777777" w:rsidR="00E87D50" w:rsidRPr="00B40537" w:rsidRDefault="00B603D6">
      <w:pPr>
        <w:pStyle w:val="ListParagraph"/>
        <w:ind w:left="0"/>
        <w:rPr>
          <w:rFonts w:asciiTheme="majorHAnsi" w:hAnsiTheme="majorHAnsi" w:cstheme="majorHAnsi"/>
          <w:sz w:val="24"/>
          <w:szCs w:val="24"/>
        </w:rPr>
      </w:pPr>
      <w:r w:rsidRPr="00B40537">
        <w:rPr>
          <w:rFonts w:asciiTheme="majorHAnsi" w:hAnsiTheme="majorHAnsi" w:cstheme="majorHAnsi"/>
          <w:sz w:val="24"/>
          <w:szCs w:val="24"/>
        </w:rPr>
        <w:t>The housekeeping team plays a vital role in creating a clean, safe, and welcoming environment for patients, families, visitors, and staff. Their work includes caring for patient rooms, communal areas, and clinical spaces, as well as managing laundry and maintaining high standards of cleanliness and infection control. Through their dedication, the team helps foster a calm and comforting atmosphere that supports the care and wellbeing of everyone in the hospice.</w:t>
      </w:r>
    </w:p>
    <w:p w14:paraId="71AFDB76" w14:textId="77777777" w:rsidR="00E87D50" w:rsidRPr="00B40537" w:rsidRDefault="00B603D6" w:rsidP="008C6D5C">
      <w:pPr>
        <w:pStyle w:val="Level1"/>
        <w:outlineLvl w:val="1"/>
      </w:pPr>
      <w:bookmarkStart w:id="45" w:name="_Toc216792814"/>
      <w:r w:rsidRPr="00B40537">
        <w:t>Catering</w:t>
      </w:r>
      <w:bookmarkEnd w:id="45"/>
      <w:r w:rsidRPr="00B40537">
        <w:t xml:space="preserve"> </w:t>
      </w:r>
    </w:p>
    <w:p w14:paraId="00360730" w14:textId="62EB8E52" w:rsidR="00E87D50" w:rsidRPr="008C6D5C" w:rsidRDefault="008C6D5C" w:rsidP="008C6D5C">
      <w:pPr>
        <w:pStyle w:val="ListParagraph"/>
        <w:spacing w:after="0"/>
        <w:ind w:left="0"/>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93056" behindDoc="0" locked="0" layoutInCell="1" allowOverlap="1" wp14:anchorId="6E88FBFA" wp14:editId="0804454C">
            <wp:simplePos x="0" y="0"/>
            <wp:positionH relativeFrom="column">
              <wp:posOffset>4313</wp:posOffset>
            </wp:positionH>
            <wp:positionV relativeFrom="paragraph">
              <wp:posOffset>2732</wp:posOffset>
            </wp:positionV>
            <wp:extent cx="401955" cy="397510"/>
            <wp:effectExtent l="0" t="0" r="0" b="2540"/>
            <wp:wrapSquare wrapText="bothSides"/>
            <wp:docPr id="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01955" cy="397510"/>
                    </a:xfrm>
                    <a:prstGeom prst="rect">
                      <a:avLst/>
                    </a:prstGeom>
                  </pic:spPr>
                </pic:pic>
              </a:graphicData>
            </a:graphic>
          </wp:anchor>
        </w:drawing>
      </w:r>
      <w:r w:rsidR="00B603D6" w:rsidRPr="00B40537">
        <w:rPr>
          <w:rFonts w:asciiTheme="majorHAnsi" w:hAnsiTheme="majorHAnsi" w:cstheme="majorHAnsi"/>
          <w:sz w:val="24"/>
          <w:szCs w:val="24"/>
        </w:rPr>
        <w:t>In 2024/25, the Catering team remained a key part of patient care, working closely with colleagues to adapt meals to changing appetites and dietary needs. Menus are balanced, nutritionally analysed, and tailored to cultural and religious preferences.</w:t>
      </w:r>
    </w:p>
    <w:p w14:paraId="33BE6042" w14:textId="77777777" w:rsidR="00EA46C9" w:rsidRPr="00B40537" w:rsidRDefault="00EA46C9">
      <w:pPr>
        <w:pStyle w:val="ListParagraph"/>
        <w:ind w:left="0"/>
        <w:rPr>
          <w:rFonts w:asciiTheme="majorHAnsi" w:hAnsiTheme="majorHAnsi" w:cstheme="majorHAnsi"/>
          <w:sz w:val="24"/>
          <w:szCs w:val="24"/>
        </w:rPr>
      </w:pPr>
    </w:p>
    <w:p w14:paraId="5B263B81" w14:textId="3D718BC6" w:rsidR="00596E16" w:rsidRDefault="00B603D6">
      <w:pPr>
        <w:pStyle w:val="ListParagraph"/>
        <w:ind w:left="0"/>
        <w:rPr>
          <w:rFonts w:asciiTheme="majorHAnsi" w:hAnsiTheme="majorHAnsi" w:cstheme="majorHAnsi"/>
          <w:sz w:val="24"/>
          <w:szCs w:val="24"/>
        </w:rPr>
      </w:pPr>
      <w:r w:rsidRPr="00B40537">
        <w:rPr>
          <w:rFonts w:asciiTheme="majorHAnsi" w:hAnsiTheme="majorHAnsi" w:cstheme="majorHAnsi"/>
          <w:sz w:val="24"/>
          <w:szCs w:val="24"/>
        </w:rPr>
        <w:t>Beyond nutrition, food is treated as a source of comfort and connection. Meals are prepared with compassion, supporting dignity and wellbeing, while special occasions are marked with celebratory lunches and afternoon teas—creating meaningful moments for patients, families, and staff.</w:t>
      </w:r>
    </w:p>
    <w:p w14:paraId="480C1301" w14:textId="77777777" w:rsidR="008C6D5C" w:rsidRPr="008C6D5C" w:rsidRDefault="008C6D5C">
      <w:pPr>
        <w:pStyle w:val="ListParagraph"/>
        <w:ind w:left="0"/>
        <w:rPr>
          <w:rFonts w:asciiTheme="majorHAnsi" w:hAnsiTheme="majorHAnsi" w:cstheme="majorHAnsi"/>
          <w:sz w:val="24"/>
          <w:szCs w:val="24"/>
        </w:rPr>
      </w:pPr>
    </w:p>
    <w:p w14:paraId="64C5A292" w14:textId="77777777" w:rsidR="00E87D50" w:rsidRPr="00B40537" w:rsidRDefault="00596E16">
      <w:pPr>
        <w:pStyle w:val="ListParagraph"/>
        <w:ind w:left="0"/>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94080" behindDoc="0" locked="0" layoutInCell="1" allowOverlap="1" wp14:anchorId="4FB4691C" wp14:editId="61A7A0F6">
            <wp:simplePos x="0" y="0"/>
            <wp:positionH relativeFrom="margin">
              <wp:align>center</wp:align>
            </wp:positionH>
            <wp:positionV relativeFrom="paragraph">
              <wp:posOffset>-3726</wp:posOffset>
            </wp:positionV>
            <wp:extent cx="4572000" cy="2394000"/>
            <wp:effectExtent l="0" t="0" r="0" b="6350"/>
            <wp:wrapTopAndBottom/>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B603D6" w:rsidRPr="00B40537">
        <w:rPr>
          <w:rFonts w:asciiTheme="majorHAnsi" w:hAnsiTheme="majorHAnsi" w:cstheme="majorHAnsi"/>
          <w:sz w:val="24"/>
          <w:szCs w:val="24"/>
        </w:rPr>
        <w:t xml:space="preserve"> </w:t>
      </w:r>
    </w:p>
    <w:p w14:paraId="0CFAABA9" w14:textId="77777777" w:rsidR="00E87D50" w:rsidRPr="00B40537" w:rsidRDefault="00E87D50">
      <w:pPr>
        <w:pStyle w:val="ListParagraph"/>
        <w:ind w:left="0"/>
        <w:rPr>
          <w:rFonts w:asciiTheme="majorHAnsi" w:hAnsiTheme="majorHAnsi" w:cstheme="majorHAnsi"/>
          <w:b/>
          <w:bCs/>
          <w:color w:val="5F497A" w:themeColor="accent4" w:themeShade="BF"/>
          <w:sz w:val="28"/>
          <w:szCs w:val="28"/>
          <w:u w:val="single"/>
        </w:rPr>
      </w:pPr>
    </w:p>
    <w:p w14:paraId="07982619" w14:textId="77777777" w:rsidR="00E87D50" w:rsidRPr="00B40537" w:rsidRDefault="00B603D6" w:rsidP="008C6D5C">
      <w:pPr>
        <w:pStyle w:val="MainLevel"/>
      </w:pPr>
      <w:bookmarkStart w:id="46" w:name="_Toc216792815"/>
      <w:r w:rsidRPr="00B40537">
        <w:t>Volunteering</w:t>
      </w:r>
      <w:bookmarkEnd w:id="46"/>
      <w:r w:rsidRPr="00B40537">
        <w:t xml:space="preserve"> </w:t>
      </w:r>
    </w:p>
    <w:p w14:paraId="72FA4D4B" w14:textId="77777777" w:rsidR="00E87D50" w:rsidRPr="00B40537" w:rsidRDefault="00B603D6">
      <w:pPr>
        <w:pStyle w:val="ListParagraph"/>
        <w:numPr>
          <w:ilvl w:val="0"/>
          <w:numId w:val="8"/>
        </w:numPr>
        <w:rPr>
          <w:rFonts w:asciiTheme="majorHAnsi" w:hAnsiTheme="majorHAnsi" w:cstheme="majorHAnsi"/>
          <w:sz w:val="24"/>
          <w:szCs w:val="24"/>
        </w:rPr>
      </w:pPr>
      <w:r w:rsidRPr="00B40537">
        <w:rPr>
          <w:rFonts w:asciiTheme="majorHAnsi" w:hAnsiTheme="majorHAnsi" w:cstheme="majorHAnsi"/>
          <w:sz w:val="24"/>
          <w:szCs w:val="24"/>
        </w:rPr>
        <w:t>Volunteers contributed 53,910 hours in 2024–25, up 7,824 hours (17%) from last year.</w:t>
      </w:r>
    </w:p>
    <w:p w14:paraId="077429A4" w14:textId="77777777" w:rsidR="00E87D50" w:rsidRPr="00B40537" w:rsidRDefault="00B603D6">
      <w:pPr>
        <w:pStyle w:val="ListParagraph"/>
        <w:numPr>
          <w:ilvl w:val="0"/>
          <w:numId w:val="8"/>
        </w:numPr>
        <w:rPr>
          <w:rFonts w:asciiTheme="majorHAnsi" w:hAnsiTheme="majorHAnsi" w:cstheme="majorHAnsi"/>
          <w:sz w:val="24"/>
          <w:szCs w:val="24"/>
        </w:rPr>
      </w:pPr>
      <w:r w:rsidRPr="00B40537">
        <w:rPr>
          <w:rFonts w:asciiTheme="majorHAnsi" w:hAnsiTheme="majorHAnsi" w:cstheme="majorHAnsi"/>
          <w:sz w:val="24"/>
          <w:szCs w:val="24"/>
        </w:rPr>
        <w:t>Patient Services saw the largest rise, increasing from 1,412 to 1,820 hours (28%) due to the reintroduction of the role and the successful launch of a new twilight shift, now staffed by two new volunteers. Recruitment in this area remains a priority for next year.</w:t>
      </w:r>
    </w:p>
    <w:p w14:paraId="0E6E2191" w14:textId="77777777" w:rsidR="00E87D50" w:rsidRPr="00B40537" w:rsidRDefault="00B603D6">
      <w:pPr>
        <w:pStyle w:val="ListParagraph"/>
        <w:numPr>
          <w:ilvl w:val="0"/>
          <w:numId w:val="8"/>
        </w:numPr>
        <w:rPr>
          <w:rFonts w:asciiTheme="majorHAnsi" w:hAnsiTheme="majorHAnsi" w:cstheme="majorHAnsi"/>
          <w:sz w:val="24"/>
          <w:szCs w:val="24"/>
        </w:rPr>
      </w:pPr>
      <w:r w:rsidRPr="00B40537">
        <w:rPr>
          <w:rFonts w:asciiTheme="majorHAnsi" w:hAnsiTheme="majorHAnsi" w:cstheme="majorHAnsi"/>
          <w:sz w:val="24"/>
          <w:szCs w:val="24"/>
        </w:rPr>
        <w:lastRenderedPageBreak/>
        <w:t>Garden volunteers contributed 1,761 hours, a 51% increase, as part of Bury Hospice’s entry into the Northwest in Bloom competition.</w:t>
      </w:r>
    </w:p>
    <w:p w14:paraId="094C6F11" w14:textId="1A4DD3B4" w:rsidR="00EA46C9" w:rsidRPr="008C6D5C" w:rsidRDefault="00B603D6" w:rsidP="008C6D5C">
      <w:pPr>
        <w:pStyle w:val="ListParagraph"/>
        <w:numPr>
          <w:ilvl w:val="0"/>
          <w:numId w:val="8"/>
        </w:numPr>
        <w:rPr>
          <w:rFonts w:asciiTheme="majorHAnsi" w:hAnsiTheme="majorHAnsi" w:cstheme="majorHAnsi"/>
          <w:sz w:val="24"/>
          <w:szCs w:val="24"/>
        </w:rPr>
      </w:pPr>
      <w:r w:rsidRPr="00B40537">
        <w:rPr>
          <w:rFonts w:asciiTheme="majorHAnsi" w:hAnsiTheme="majorHAnsi" w:cstheme="majorHAnsi"/>
          <w:sz w:val="24"/>
          <w:szCs w:val="24"/>
        </w:rPr>
        <w:t>Corporate volunteering expanded significantly, with 652 hours across fourteen volunteering days, involving 113 participants from different companies. This compares to just four companies and nine volunteers the previous year.</w:t>
      </w:r>
    </w:p>
    <w:p w14:paraId="544DA023" w14:textId="62671355" w:rsidR="00E87D50" w:rsidRPr="00B40537" w:rsidRDefault="008C6D5C" w:rsidP="008C6D5C">
      <w:pPr>
        <w:pStyle w:val="Level1"/>
        <w:outlineLvl w:val="1"/>
      </w:pPr>
      <w:bookmarkStart w:id="47" w:name="_Toc216792816"/>
      <w:r w:rsidRPr="00B40537">
        <w:rPr>
          <w:noProof/>
          <w:lang w:val="en-GB" w:eastAsia="en-GB"/>
        </w:rPr>
        <w:drawing>
          <wp:anchor distT="0" distB="0" distL="114300" distR="114300" simplePos="0" relativeHeight="251695104" behindDoc="0" locked="0" layoutInCell="1" allowOverlap="1" wp14:anchorId="014CAE68" wp14:editId="43318D52">
            <wp:simplePos x="0" y="0"/>
            <wp:positionH relativeFrom="margin">
              <wp:posOffset>0</wp:posOffset>
            </wp:positionH>
            <wp:positionV relativeFrom="paragraph">
              <wp:posOffset>498283</wp:posOffset>
            </wp:positionV>
            <wp:extent cx="2882900" cy="2186940"/>
            <wp:effectExtent l="0" t="0" r="0" b="3810"/>
            <wp:wrapSquare wrapText="bothSides"/>
            <wp:docPr id="4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4"/>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882900" cy="2186940"/>
                    </a:xfrm>
                    <a:prstGeom prst="rect">
                      <a:avLst/>
                    </a:prstGeom>
                  </pic:spPr>
                </pic:pic>
              </a:graphicData>
            </a:graphic>
          </wp:anchor>
        </w:drawing>
      </w:r>
      <w:r w:rsidR="00B603D6" w:rsidRPr="00B40537">
        <w:t>Volunteer recruitment 2024 – 25:</w:t>
      </w:r>
      <w:bookmarkEnd w:id="47"/>
      <w:r w:rsidR="00B603D6" w:rsidRPr="00B40537">
        <w:t xml:space="preserve">       </w:t>
      </w:r>
    </w:p>
    <w:p w14:paraId="41054B10" w14:textId="77777777" w:rsidR="00E87D50" w:rsidRPr="00B40537" w:rsidRDefault="00E87D50">
      <w:pPr>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4EFAE043" w14:textId="5E89AAB7" w:rsidR="008C6D5C" w:rsidRDefault="008C6D5C" w:rsidP="008C6D5C">
      <w:pPr>
        <w:rPr>
          <w:rFonts w:asciiTheme="majorHAnsi" w:hAnsiTheme="majorHAnsi" w:cstheme="majorHAnsi"/>
          <w:sz w:val="24"/>
          <w:szCs w:val="24"/>
        </w:rPr>
      </w:pPr>
    </w:p>
    <w:p w14:paraId="6D54972D" w14:textId="77777777" w:rsidR="008C6D5C" w:rsidRDefault="008C6D5C" w:rsidP="008C6D5C">
      <w:pPr>
        <w:rPr>
          <w:rFonts w:asciiTheme="majorHAnsi" w:hAnsiTheme="majorHAnsi" w:cstheme="majorHAnsi"/>
          <w:sz w:val="24"/>
          <w:szCs w:val="24"/>
        </w:rPr>
      </w:pPr>
    </w:p>
    <w:p w14:paraId="1B90F55D" w14:textId="36837CB9" w:rsidR="00E87D50" w:rsidRPr="00B40537" w:rsidRDefault="00B603D6" w:rsidP="008C6D5C">
      <w:pPr>
        <w:rPr>
          <w:rFonts w:asciiTheme="majorHAnsi" w:hAnsiTheme="majorHAnsi" w:cstheme="majorHAnsi"/>
          <w:sz w:val="24"/>
          <w:szCs w:val="24"/>
        </w:rPr>
      </w:pPr>
      <w:r w:rsidRPr="00B40537">
        <w:rPr>
          <w:rFonts w:asciiTheme="majorHAnsi" w:hAnsiTheme="majorHAnsi" w:cstheme="majorHAnsi"/>
          <w:sz w:val="24"/>
          <w:szCs w:val="24"/>
        </w:rPr>
        <w:t xml:space="preserve">Hospice-based: </w:t>
      </w:r>
      <w:r w:rsidRPr="00B40537">
        <w:rPr>
          <w:rFonts w:asciiTheme="majorHAnsi" w:hAnsiTheme="majorHAnsi" w:cstheme="majorHAnsi"/>
          <w:b/>
          <w:bCs/>
          <w:color w:val="5F497A" w:themeColor="accent4" w:themeShade="BF"/>
          <w:sz w:val="24"/>
          <w:szCs w:val="24"/>
        </w:rPr>
        <w:t>34</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new volunteers</w:t>
      </w:r>
    </w:p>
    <w:p w14:paraId="2321A876" w14:textId="77777777" w:rsidR="00E87D50" w:rsidRPr="00B40537" w:rsidRDefault="00B603D6" w:rsidP="008C6D5C">
      <w:pPr>
        <w:pStyle w:val="FrameContents"/>
        <w:rPr>
          <w:rFonts w:asciiTheme="majorHAnsi" w:hAnsiTheme="majorHAnsi" w:cstheme="majorHAnsi"/>
          <w:sz w:val="24"/>
          <w:szCs w:val="24"/>
        </w:rPr>
      </w:pPr>
      <w:r w:rsidRPr="00B40537">
        <w:rPr>
          <w:rFonts w:asciiTheme="majorHAnsi" w:hAnsiTheme="majorHAnsi" w:cstheme="majorHAnsi"/>
          <w:sz w:val="24"/>
          <w:szCs w:val="24"/>
        </w:rPr>
        <w:t xml:space="preserve">Retail: </w:t>
      </w:r>
      <w:r w:rsidRPr="00B40537">
        <w:rPr>
          <w:rFonts w:asciiTheme="majorHAnsi" w:hAnsiTheme="majorHAnsi" w:cstheme="majorHAnsi"/>
          <w:b/>
          <w:bCs/>
          <w:color w:val="5F497A" w:themeColor="accent4" w:themeShade="BF"/>
          <w:sz w:val="24"/>
          <w:szCs w:val="24"/>
        </w:rPr>
        <w:t>52</w:t>
      </w:r>
      <w:r w:rsidRPr="00B40537">
        <w:rPr>
          <w:rFonts w:asciiTheme="majorHAnsi" w:hAnsiTheme="majorHAnsi" w:cstheme="majorHAnsi"/>
          <w:color w:val="5F497A" w:themeColor="accent4" w:themeShade="BF"/>
          <w:sz w:val="24"/>
          <w:szCs w:val="24"/>
        </w:rPr>
        <w:t xml:space="preserve"> </w:t>
      </w:r>
      <w:r w:rsidRPr="00B40537">
        <w:rPr>
          <w:rFonts w:asciiTheme="majorHAnsi" w:hAnsiTheme="majorHAnsi" w:cstheme="majorHAnsi"/>
          <w:sz w:val="24"/>
          <w:szCs w:val="24"/>
        </w:rPr>
        <w:t>new volunteers</w:t>
      </w:r>
    </w:p>
    <w:p w14:paraId="5D487FC5" w14:textId="77777777" w:rsidR="00E87D50" w:rsidRPr="00B40537" w:rsidRDefault="00B603D6" w:rsidP="008C6D5C">
      <w:pPr>
        <w:pStyle w:val="FrameContents"/>
        <w:rPr>
          <w:rFonts w:asciiTheme="majorHAnsi" w:hAnsiTheme="majorHAnsi" w:cstheme="majorHAnsi"/>
          <w:b/>
          <w:bCs/>
          <w:color w:val="5F497A" w:themeColor="accent4" w:themeShade="BF"/>
          <w:sz w:val="24"/>
          <w:szCs w:val="24"/>
        </w:rPr>
      </w:pPr>
      <w:r w:rsidRPr="00B40537">
        <w:rPr>
          <w:rFonts w:asciiTheme="majorHAnsi" w:hAnsiTheme="majorHAnsi" w:cstheme="majorHAnsi"/>
          <w:sz w:val="24"/>
          <w:szCs w:val="24"/>
        </w:rPr>
        <w:t xml:space="preserve">Leavers: </w:t>
      </w:r>
      <w:r w:rsidRPr="00B40537">
        <w:rPr>
          <w:rFonts w:asciiTheme="majorHAnsi" w:hAnsiTheme="majorHAnsi" w:cstheme="majorHAnsi"/>
          <w:b/>
          <w:bCs/>
          <w:color w:val="5F497A" w:themeColor="accent4" w:themeShade="BF"/>
          <w:sz w:val="24"/>
          <w:szCs w:val="24"/>
        </w:rPr>
        <w:t>17</w:t>
      </w:r>
    </w:p>
    <w:p w14:paraId="415A9EA7" w14:textId="77777777" w:rsidR="00E87D50" w:rsidRPr="00B40537" w:rsidRDefault="00B603D6" w:rsidP="008C6D5C">
      <w:pPr>
        <w:pStyle w:val="FrameContents"/>
        <w:rPr>
          <w:rFonts w:asciiTheme="majorHAnsi" w:hAnsiTheme="majorHAnsi" w:cstheme="majorHAnsi"/>
          <w:sz w:val="24"/>
          <w:szCs w:val="24"/>
        </w:rPr>
        <w:sectPr w:rsidR="00E87D50" w:rsidRPr="00B40537" w:rsidSect="00B40537">
          <w:type w:val="continuous"/>
          <w:pgSz w:w="12240" w:h="15840"/>
          <w:pgMar w:top="1440" w:right="1080" w:bottom="1440" w:left="1080" w:header="0" w:footer="0" w:gutter="0"/>
          <w:cols w:num="2" w:space="720"/>
          <w:formProt w:val="0"/>
          <w:docGrid w:linePitch="360" w:charSpace="4096"/>
        </w:sectPr>
      </w:pPr>
      <w:r w:rsidRPr="00B40537">
        <w:rPr>
          <w:rFonts w:asciiTheme="majorHAnsi" w:hAnsiTheme="majorHAnsi" w:cstheme="majorHAnsi"/>
          <w:sz w:val="24"/>
          <w:szCs w:val="24"/>
        </w:rPr>
        <w:t xml:space="preserve">Total year-end volunteers: </w:t>
      </w:r>
      <w:r w:rsidRPr="00B40537">
        <w:rPr>
          <w:rFonts w:asciiTheme="majorHAnsi" w:hAnsiTheme="majorHAnsi" w:cstheme="majorHAnsi"/>
          <w:b/>
          <w:bCs/>
          <w:color w:val="5F497A" w:themeColor="accent4" w:themeShade="BF"/>
          <w:sz w:val="24"/>
          <w:szCs w:val="24"/>
        </w:rPr>
        <w:t xml:space="preserve">442 </w:t>
      </w:r>
      <w:r w:rsidR="007B0B52" w:rsidRPr="00B40537">
        <w:rPr>
          <w:rFonts w:asciiTheme="majorHAnsi" w:hAnsiTheme="majorHAnsi" w:cstheme="majorHAnsi"/>
          <w:sz w:val="24"/>
          <w:szCs w:val="24"/>
        </w:rPr>
        <w:t xml:space="preserve">– a </w:t>
      </w:r>
      <w:r w:rsidRPr="00B40537">
        <w:rPr>
          <w:rFonts w:asciiTheme="majorHAnsi" w:hAnsiTheme="majorHAnsi" w:cstheme="majorHAnsi"/>
          <w:sz w:val="24"/>
          <w:szCs w:val="24"/>
        </w:rPr>
        <w:t xml:space="preserve">testament to </w:t>
      </w:r>
      <w:r w:rsidR="00C24537" w:rsidRPr="00B40537">
        <w:rPr>
          <w:rFonts w:asciiTheme="majorHAnsi" w:hAnsiTheme="majorHAnsi" w:cstheme="majorHAnsi"/>
          <w:sz w:val="24"/>
          <w:szCs w:val="24"/>
        </w:rPr>
        <w:t>Bury’s strong community support</w:t>
      </w:r>
    </w:p>
    <w:p w14:paraId="4C8550B2" w14:textId="77777777" w:rsidR="00E87D50" w:rsidRPr="00B40537" w:rsidRDefault="00E87D50">
      <w:pPr>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22611ECF" w14:textId="77777777" w:rsidR="008C6D5C" w:rsidRDefault="008C6D5C">
      <w:pPr>
        <w:pStyle w:val="ListBullet"/>
        <w:numPr>
          <w:ilvl w:val="0"/>
          <w:numId w:val="0"/>
        </w:numPr>
        <w:rPr>
          <w:rFonts w:asciiTheme="majorHAnsi" w:hAnsiTheme="majorHAnsi" w:cstheme="majorHAnsi"/>
          <w:b/>
          <w:bCs/>
          <w:color w:val="5F497A" w:themeColor="accent4" w:themeShade="BF"/>
          <w:sz w:val="28"/>
          <w:szCs w:val="28"/>
          <w:u w:val="single"/>
        </w:rPr>
      </w:pPr>
    </w:p>
    <w:p w14:paraId="3175A950" w14:textId="724A2B04" w:rsidR="00E87D50" w:rsidRPr="00B40537" w:rsidRDefault="00B603D6" w:rsidP="008C6D5C">
      <w:pPr>
        <w:pStyle w:val="MainLevel"/>
      </w:pPr>
      <w:bookmarkStart w:id="48" w:name="_Toc216792817"/>
      <w:r w:rsidRPr="00B40537">
        <w:t>Patient Experience</w:t>
      </w:r>
      <w:bookmarkEnd w:id="48"/>
      <w:r w:rsidRPr="00B40537">
        <w:t xml:space="preserve"> </w:t>
      </w:r>
    </w:p>
    <w:p w14:paraId="09ED2414"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At Bury Hospice, patient quality and safety are our top priorities. We are committed to providing exceptional care that meets the needs and expectations of both patients and their families. To minimize harm and prevent errors, we adhere to evidence-based practices, regularly assess our performance, and continuously refine our processes to ensure patient safety and satisfaction.</w:t>
      </w:r>
    </w:p>
    <w:p w14:paraId="698DC7B7"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We recognize the importance of candour in fostering trust with patients and carers. By prioritizing transparency and accountability, we aim to improve patient outcomes, enhance communication, and cultivate a culture of ongoing learning and improvement in clinical practice.</w:t>
      </w:r>
    </w:p>
    <w:p w14:paraId="7F339703"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Here at the Hospice, we place great value on feedback from patients, visitors, and staff. This input is essential for understanding patient needs and enhancing care delivery. It helps us identify areas of strength and opportunities for improvement, guiding targeted changes. Additionally, it supports staff development, offering chances for professional growth. When patients and families feel heard and valued, it strengthens trust and confidence in the care we provide.</w:t>
      </w:r>
    </w:p>
    <w:p w14:paraId="79353EA1" w14:textId="4D26B8EE" w:rsidR="00E87D50" w:rsidRPr="00B40537" w:rsidRDefault="00F011F9" w:rsidP="008C6D5C">
      <w:pPr>
        <w:pStyle w:val="MainLevel"/>
      </w:pPr>
      <w:bookmarkStart w:id="49" w:name="_Toc216792818"/>
      <w:r>
        <w:lastRenderedPageBreak/>
        <w:t>What d</w:t>
      </w:r>
      <w:r w:rsidR="00B603D6" w:rsidRPr="00B40537">
        <w:t>o people say about us?</w:t>
      </w:r>
      <w:bookmarkEnd w:id="49"/>
    </w:p>
    <w:p w14:paraId="0AB0A01A" w14:textId="77777777" w:rsidR="00E87D50" w:rsidRPr="00B40537" w:rsidRDefault="00B603D6" w:rsidP="004754A1">
      <w:pPr>
        <w:contextualSpacing/>
        <w:rPr>
          <w:rFonts w:asciiTheme="majorHAnsi" w:hAnsiTheme="majorHAnsi" w:cstheme="majorHAnsi"/>
          <w:sz w:val="24"/>
          <w:szCs w:val="24"/>
        </w:rPr>
      </w:pPr>
      <w:r w:rsidRPr="00B40537">
        <w:rPr>
          <w:rFonts w:asciiTheme="majorHAnsi" w:hAnsiTheme="majorHAnsi" w:cstheme="majorHAnsi"/>
          <w:sz w:val="24"/>
          <w:szCs w:val="24"/>
        </w:rPr>
        <w:t>We use “I Want Great Care” to collect feedback from those who experience our services. Below are some descriptions received to describe care received by our patients and carers following their experience of hospice services.</w:t>
      </w:r>
    </w:p>
    <w:p w14:paraId="34FAB16E" w14:textId="77777777" w:rsidR="00E87D50" w:rsidRPr="00B40537" w:rsidRDefault="00B603D6">
      <w:pPr>
        <w:spacing w:after="0" w:line="259" w:lineRule="auto"/>
        <w:contextualSpacing/>
        <w:rPr>
          <w:rFonts w:asciiTheme="majorHAnsi" w:eastAsia="Calibri" w:hAnsiTheme="majorHAnsi" w:cstheme="majorHAnsi"/>
          <w:sz w:val="24"/>
          <w:szCs w:val="24"/>
        </w:rPr>
      </w:pPr>
      <w:r w:rsidRPr="00B40537">
        <w:rPr>
          <w:rFonts w:asciiTheme="majorHAnsi" w:eastAsia="Calibri" w:hAnsiTheme="majorHAnsi" w:cstheme="majorHAnsi"/>
          <w:sz w:val="24"/>
          <w:szCs w:val="24"/>
        </w:rPr>
        <w:t xml:space="preserve">The median care rating was 4.95, indicating an excellent level of satisfaction, as reflected in the feedback illustrated in the word cloud below. </w:t>
      </w:r>
    </w:p>
    <w:p w14:paraId="10759458" w14:textId="79DB036B" w:rsidR="00E87D50" w:rsidRPr="00B40537" w:rsidRDefault="00793817">
      <w:pPr>
        <w:pStyle w:val="ListBullet"/>
        <w:numPr>
          <w:ilvl w:val="0"/>
          <w:numId w:val="0"/>
        </w:numPr>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96128" behindDoc="0" locked="0" layoutInCell="1" allowOverlap="1" wp14:anchorId="0FD0C5A5" wp14:editId="3BD847EA">
            <wp:simplePos x="0" y="0"/>
            <wp:positionH relativeFrom="margin">
              <wp:posOffset>3810</wp:posOffset>
            </wp:positionH>
            <wp:positionV relativeFrom="paragraph">
              <wp:posOffset>388117</wp:posOffset>
            </wp:positionV>
            <wp:extent cx="2286000" cy="2035175"/>
            <wp:effectExtent l="0" t="0" r="0" b="3175"/>
            <wp:wrapSquare wrapText="bothSides"/>
            <wp:docPr id="45" name="Image15"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5" descr="A close up of words&#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286000" cy="2035175"/>
                    </a:xfrm>
                    <a:prstGeom prst="rect">
                      <a:avLst/>
                    </a:prstGeom>
                  </pic:spPr>
                </pic:pic>
              </a:graphicData>
            </a:graphic>
            <wp14:sizeRelH relativeFrom="margin">
              <wp14:pctWidth>0</wp14:pctWidth>
            </wp14:sizeRelH>
            <wp14:sizeRelV relativeFrom="margin">
              <wp14:pctHeight>0</wp14:pctHeight>
            </wp14:sizeRelV>
          </wp:anchor>
        </w:drawing>
      </w:r>
      <w:r w:rsidRPr="00B40537">
        <w:rPr>
          <w:rFonts w:asciiTheme="majorHAnsi" w:hAnsiTheme="majorHAnsi" w:cstheme="majorHAnsi"/>
          <w:noProof/>
          <w:lang w:val="en-GB" w:eastAsia="en-GB"/>
        </w:rPr>
        <w:drawing>
          <wp:anchor distT="0" distB="0" distL="114300" distR="114300" simplePos="0" relativeHeight="251697152" behindDoc="0" locked="0" layoutInCell="1" allowOverlap="1" wp14:anchorId="4414668E" wp14:editId="7ABBD9EB">
            <wp:simplePos x="0" y="0"/>
            <wp:positionH relativeFrom="margin">
              <wp:align>right</wp:align>
            </wp:positionH>
            <wp:positionV relativeFrom="paragraph">
              <wp:posOffset>226827</wp:posOffset>
            </wp:positionV>
            <wp:extent cx="4103370" cy="2393950"/>
            <wp:effectExtent l="0" t="0" r="11430" b="6350"/>
            <wp:wrapSquare wrapText="bothSides"/>
            <wp:docPr id="46" name="Object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p w14:paraId="09C89D1C" w14:textId="5509F3CE" w:rsidR="00E87D50" w:rsidRPr="00B40537" w:rsidRDefault="00B603D6">
      <w:pPr>
        <w:pStyle w:val="ListBullet"/>
        <w:numPr>
          <w:ilvl w:val="0"/>
          <w:numId w:val="0"/>
        </w:numPr>
        <w:rPr>
          <w:rFonts w:asciiTheme="majorHAnsi" w:eastAsia="Calibri" w:hAnsiTheme="majorHAnsi" w:cstheme="majorHAnsi"/>
          <w:b/>
          <w:bCs/>
          <w:color w:val="5F497A" w:themeColor="accent4" w:themeShade="BF"/>
          <w:sz w:val="28"/>
          <w:szCs w:val="28"/>
          <w:u w:val="single"/>
        </w:rPr>
      </w:pPr>
      <w:r w:rsidRPr="00B40537">
        <w:rPr>
          <w:rFonts w:asciiTheme="majorHAnsi" w:eastAsia="Calibri" w:hAnsiTheme="majorHAnsi" w:cstheme="majorHAnsi"/>
          <w:b/>
          <w:bCs/>
          <w:color w:val="5F497A" w:themeColor="accent4" w:themeShade="BF"/>
          <w:sz w:val="28"/>
          <w:szCs w:val="28"/>
        </w:rPr>
        <w:t xml:space="preserve">  </w:t>
      </w:r>
    </w:p>
    <w:p w14:paraId="703FE3EE" w14:textId="77777777" w:rsidR="00E87D50" w:rsidRPr="00B40537" w:rsidRDefault="00E87D50">
      <w:pPr>
        <w:spacing w:after="0" w:line="259" w:lineRule="auto"/>
        <w:contextualSpacing/>
        <w:rPr>
          <w:rFonts w:asciiTheme="majorHAnsi" w:eastAsia="Calibri" w:hAnsiTheme="majorHAnsi" w:cstheme="majorHAnsi"/>
          <w:b/>
          <w:bCs/>
          <w:color w:val="5F497A" w:themeColor="accent4" w:themeShade="BF"/>
          <w:sz w:val="28"/>
          <w:szCs w:val="28"/>
          <w:u w:val="single"/>
        </w:rPr>
      </w:pPr>
    </w:p>
    <w:p w14:paraId="5E181A78" w14:textId="77777777" w:rsidR="00E87D50" w:rsidRPr="00B40537" w:rsidRDefault="00B603D6" w:rsidP="00793817">
      <w:pPr>
        <w:pStyle w:val="Level1"/>
        <w:outlineLvl w:val="1"/>
      </w:pPr>
      <w:bookmarkStart w:id="50" w:name="_Toc216792819"/>
      <w:r w:rsidRPr="00B40537">
        <w:t>Visitor Feedback</w:t>
      </w:r>
      <w:bookmarkEnd w:id="50"/>
    </w:p>
    <w:p w14:paraId="5DBC54EB" w14:textId="77777777" w:rsidR="00E87D50" w:rsidRPr="00B40537" w:rsidRDefault="00B603D6">
      <w:pPr>
        <w:spacing w:after="0" w:line="259" w:lineRule="auto"/>
        <w:contextualSpacing/>
        <w:rPr>
          <w:rFonts w:asciiTheme="majorHAnsi" w:eastAsia="Calibri" w:hAnsiTheme="majorHAnsi" w:cstheme="majorHAnsi"/>
          <w:sz w:val="24"/>
          <w:szCs w:val="24"/>
        </w:rPr>
      </w:pPr>
      <w:r w:rsidRPr="00B40537">
        <w:rPr>
          <w:rFonts w:asciiTheme="majorHAnsi" w:eastAsia="Calibri" w:hAnsiTheme="majorHAnsi" w:cstheme="majorHAnsi"/>
          <w:sz w:val="24"/>
          <w:szCs w:val="24"/>
        </w:rPr>
        <w:t>The median service rating was 4.92, reflecting an excellent level of satisfaction, as supported by the feedback highlighted in the word cloud below.</w:t>
      </w:r>
    </w:p>
    <w:p w14:paraId="1D12A7B8" w14:textId="43039CB6" w:rsidR="00C24537" w:rsidRPr="00B40537" w:rsidRDefault="00793817">
      <w:pPr>
        <w:spacing w:after="0" w:line="259" w:lineRule="auto"/>
        <w:contextualSpacing/>
        <w:rPr>
          <w:rFonts w:asciiTheme="majorHAnsi" w:eastAsia="Calibr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699200" behindDoc="0" locked="0" layoutInCell="1" allowOverlap="1" wp14:anchorId="3750150F" wp14:editId="61662CC4">
            <wp:simplePos x="0" y="0"/>
            <wp:positionH relativeFrom="margin">
              <wp:posOffset>4496231</wp:posOffset>
            </wp:positionH>
            <wp:positionV relativeFrom="paragraph">
              <wp:posOffset>302272</wp:posOffset>
            </wp:positionV>
            <wp:extent cx="1897380" cy="2371725"/>
            <wp:effectExtent l="0" t="0" r="7620" b="9525"/>
            <wp:wrapSquare wrapText="bothSides"/>
            <wp:docPr id="48" name="Image16" descr="A close up of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6" descr="A close up of words&#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897380" cy="2371725"/>
                    </a:xfrm>
                    <a:prstGeom prst="rect">
                      <a:avLst/>
                    </a:prstGeom>
                  </pic:spPr>
                </pic:pic>
              </a:graphicData>
            </a:graphic>
            <wp14:sizeRelH relativeFrom="margin">
              <wp14:pctWidth>0</wp14:pctWidth>
            </wp14:sizeRelH>
          </wp:anchor>
        </w:drawing>
      </w:r>
    </w:p>
    <w:p w14:paraId="6FB90A58" w14:textId="77777777" w:rsidR="00E87D50" w:rsidRPr="00B40537" w:rsidRDefault="00E87D50">
      <w:pPr>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37EA5E42" w14:textId="77777777" w:rsidR="00793817" w:rsidRDefault="00B603D6">
      <w:pPr>
        <w:spacing w:after="0" w:line="259" w:lineRule="auto"/>
        <w:contextualSpacing/>
        <w:rPr>
          <w:rFonts w:asciiTheme="majorHAnsi" w:eastAsia="Calibri" w:hAnsiTheme="majorHAnsi" w:cstheme="majorHAnsi"/>
          <w:b/>
          <w:bCs/>
          <w:color w:val="5F497A" w:themeColor="accent4" w:themeShade="BF"/>
          <w:sz w:val="28"/>
          <w:szCs w:val="28"/>
          <w:u w:val="single"/>
        </w:rPr>
      </w:pPr>
      <w:r w:rsidRPr="00B40537">
        <w:rPr>
          <w:rFonts w:asciiTheme="majorHAnsi" w:hAnsiTheme="majorHAnsi" w:cstheme="majorHAnsi"/>
          <w:noProof/>
          <w:lang w:val="en-GB" w:eastAsia="en-GB"/>
        </w:rPr>
        <w:drawing>
          <wp:anchor distT="0" distB="0" distL="114300" distR="114300" simplePos="0" relativeHeight="251698176" behindDoc="0" locked="0" layoutInCell="1" allowOverlap="1" wp14:anchorId="08B6A345" wp14:editId="27399BA7">
            <wp:simplePos x="0" y="0"/>
            <wp:positionH relativeFrom="column">
              <wp:posOffset>3810</wp:posOffset>
            </wp:positionH>
            <wp:positionV relativeFrom="paragraph">
              <wp:posOffset>49530</wp:posOffset>
            </wp:positionV>
            <wp:extent cx="4104000" cy="2394000"/>
            <wp:effectExtent l="0" t="0" r="11430" b="6350"/>
            <wp:wrapSquare wrapText="bothSides"/>
            <wp:docPr id="47" name="Object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Pr="00B40537">
        <w:rPr>
          <w:rFonts w:asciiTheme="majorHAnsi" w:eastAsia="Calibri" w:hAnsiTheme="majorHAnsi" w:cstheme="majorHAnsi"/>
          <w:b/>
          <w:bCs/>
          <w:color w:val="5F497A" w:themeColor="accent4" w:themeShade="BF"/>
          <w:sz w:val="28"/>
          <w:szCs w:val="28"/>
        </w:rPr>
        <w:t xml:space="preserve">  </w:t>
      </w:r>
    </w:p>
    <w:p w14:paraId="0D78A5EE" w14:textId="116DAF4A" w:rsidR="00E87D50" w:rsidRPr="00B40537" w:rsidRDefault="00B603D6" w:rsidP="00793817">
      <w:pPr>
        <w:pStyle w:val="MainLevel"/>
      </w:pPr>
      <w:bookmarkStart w:id="51" w:name="_Toc216792820"/>
      <w:r w:rsidRPr="00B40537">
        <w:lastRenderedPageBreak/>
        <w:t>Complaints / Concerns and Compliments</w:t>
      </w:r>
      <w:bookmarkEnd w:id="51"/>
      <w:r w:rsidRPr="00B40537">
        <w:rPr>
          <w:vertAlign w:val="subscript"/>
        </w:rPr>
        <w:t xml:space="preserve">  </w:t>
      </w:r>
    </w:p>
    <w:p w14:paraId="68824DE3" w14:textId="77777777" w:rsidR="00E87D50" w:rsidRPr="00B40537" w:rsidRDefault="00B603D6">
      <w:pPr>
        <w:ind w:left="10" w:right="144"/>
        <w:rPr>
          <w:rFonts w:asciiTheme="majorHAnsi" w:hAnsiTheme="majorHAnsi" w:cstheme="majorHAnsi"/>
          <w:sz w:val="24"/>
          <w:szCs w:val="24"/>
        </w:rPr>
      </w:pPr>
      <w:r w:rsidRPr="00B40537">
        <w:rPr>
          <w:rFonts w:asciiTheme="majorHAnsi" w:hAnsiTheme="majorHAnsi" w:cstheme="majorHAnsi"/>
          <w:sz w:val="24"/>
          <w:szCs w:val="24"/>
        </w:rPr>
        <w:t xml:space="preserve">Complaints are integral to upholding high-quality healthcare. The way the hospice addresses concerns reflects its commitment to being both safe and responsive. A robust complaints management system affords the hospice opportunities to restore confidence when expectations have not been met, enhances service quality through feedback, and can prevent minor issues from escalating into more serious problems. </w:t>
      </w:r>
    </w:p>
    <w:p w14:paraId="69F2E0AB" w14:textId="77777777" w:rsidR="00E87D50" w:rsidRPr="00B40537" w:rsidRDefault="00B603D6">
      <w:pPr>
        <w:ind w:left="10" w:right="144"/>
        <w:rPr>
          <w:rFonts w:asciiTheme="majorHAnsi" w:hAnsiTheme="majorHAnsi" w:cstheme="majorHAnsi"/>
          <w:sz w:val="24"/>
          <w:szCs w:val="24"/>
        </w:rPr>
      </w:pPr>
      <w:r w:rsidRPr="00B40537">
        <w:rPr>
          <w:rFonts w:asciiTheme="majorHAnsi" w:hAnsiTheme="majorHAnsi" w:cstheme="majorHAnsi"/>
          <w:sz w:val="24"/>
          <w:szCs w:val="24"/>
        </w:rPr>
        <w:t xml:space="preserve">In total there were 19 complaints and concerns raised in the 12-month period, which equates to a 19% increase on the previous year.  </w:t>
      </w:r>
    </w:p>
    <w:p w14:paraId="011D9CC6" w14:textId="7A3788AA" w:rsidR="00793817" w:rsidRDefault="00B603D6" w:rsidP="00793817">
      <w:pPr>
        <w:ind w:left="10" w:right="144"/>
        <w:rPr>
          <w:rFonts w:asciiTheme="majorHAnsi" w:hAnsiTheme="majorHAnsi" w:cstheme="majorHAnsi"/>
          <w:sz w:val="24"/>
          <w:szCs w:val="24"/>
        </w:rPr>
      </w:pPr>
      <w:r w:rsidRPr="00B40537">
        <w:rPr>
          <w:rFonts w:asciiTheme="majorHAnsi" w:hAnsiTheme="majorHAnsi" w:cstheme="majorHAnsi"/>
          <w:noProof/>
          <w:lang w:val="en-GB" w:eastAsia="en-GB"/>
        </w:rPr>
        <w:drawing>
          <wp:anchor distT="0" distB="0" distL="114300" distR="114300" simplePos="0" relativeHeight="251700224" behindDoc="0" locked="0" layoutInCell="1" allowOverlap="1" wp14:anchorId="4F4378FB" wp14:editId="4CBF2BF8">
            <wp:simplePos x="0" y="0"/>
            <wp:positionH relativeFrom="margin">
              <wp:align>center</wp:align>
            </wp:positionH>
            <wp:positionV relativeFrom="paragraph">
              <wp:posOffset>1881</wp:posOffset>
            </wp:positionV>
            <wp:extent cx="4532400" cy="2394000"/>
            <wp:effectExtent l="0" t="0" r="1905" b="6350"/>
            <wp:wrapTopAndBottom/>
            <wp:docPr id="4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5007E373" w14:textId="3849C52A" w:rsidR="00E87D50" w:rsidRPr="00B40537" w:rsidRDefault="00B603D6">
      <w:pPr>
        <w:ind w:left="10" w:right="144"/>
        <w:rPr>
          <w:rFonts w:asciiTheme="majorHAnsi" w:hAnsiTheme="majorHAnsi" w:cstheme="majorHAnsi"/>
          <w:sz w:val="24"/>
          <w:szCs w:val="24"/>
        </w:rPr>
      </w:pPr>
      <w:r w:rsidRPr="00B40537">
        <w:rPr>
          <w:rFonts w:asciiTheme="majorHAnsi" w:hAnsiTheme="majorHAnsi" w:cstheme="majorHAnsi"/>
          <w:sz w:val="24"/>
          <w:szCs w:val="24"/>
        </w:rPr>
        <w:t xml:space="preserve">The complaints regarding clinical services related to communication by staff (2), quality of service provided (2) and attitude/care provided by an agency nurse (1) and all were investigated, apology was given and all were resolved without requiring external escalation. </w:t>
      </w:r>
    </w:p>
    <w:p w14:paraId="59AD8978"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We actively seek and value feedback from patients, carers, and all who use our services. Our comprehensive Complaints Policy and Procedure is accessible to all service users, and concerns or alerts are managed with equal rigor.</w:t>
      </w:r>
    </w:p>
    <w:p w14:paraId="717FA080"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All concerns raised during 2024–25 were reviewed in consultation with the individuals involved, with reflection and action taken by relevant staff as appropriate. Feedback was provided to those raising concerns, and all issues were resolved without escalation or formal action prior to completion of this Quality Account.</w:t>
      </w:r>
    </w:p>
    <w:p w14:paraId="483D3B85" w14:textId="77777777"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All complaints are recorded in accordance with organisational policy, and we remain fully compliant with the Statutory Duty of Candour (Department of Health, 2014), CQC Regulation 20, and Charity Commission requirements. Duty of Candour training is mandatory for all employees.</w:t>
      </w:r>
    </w:p>
    <w:p w14:paraId="43D01F6B" w14:textId="77777777" w:rsidR="00793817" w:rsidRDefault="00B603D6">
      <w:pPr>
        <w:pStyle w:val="NormalWeb"/>
        <w:spacing w:before="280" w:after="280"/>
        <w:rPr>
          <w:rFonts w:asciiTheme="majorHAnsi" w:hAnsiTheme="majorHAnsi" w:cstheme="majorHAnsi"/>
        </w:rPr>
      </w:pPr>
      <w:r w:rsidRPr="00B40537">
        <w:rPr>
          <w:rFonts w:asciiTheme="majorHAnsi" w:hAnsiTheme="majorHAnsi" w:cstheme="majorHAnsi"/>
        </w:rPr>
        <w:lastRenderedPageBreak/>
        <w:t>We continue to foster a culture of candour, openness, and honesty across the organisation. These values underpin our commitment to safety, learning, and continuous improvement, and are actively promoted at Board level to ensure trust and accountability.</w:t>
      </w:r>
      <w:r w:rsidR="00793817">
        <w:rPr>
          <w:rFonts w:asciiTheme="majorHAnsi" w:hAnsiTheme="majorHAnsi" w:cstheme="majorHAnsi"/>
        </w:rPr>
        <w:t xml:space="preserve"> </w:t>
      </w:r>
    </w:p>
    <w:p w14:paraId="46F73810" w14:textId="23DF2D0D" w:rsidR="00E87D50" w:rsidRPr="00B40537" w:rsidRDefault="00B603D6">
      <w:pPr>
        <w:pStyle w:val="NormalWeb"/>
        <w:spacing w:before="280" w:after="280"/>
        <w:rPr>
          <w:rFonts w:asciiTheme="majorHAnsi" w:hAnsiTheme="majorHAnsi" w:cstheme="majorHAnsi"/>
        </w:rPr>
      </w:pPr>
      <w:r w:rsidRPr="00B40537">
        <w:rPr>
          <w:rFonts w:asciiTheme="majorHAnsi" w:hAnsiTheme="majorHAnsi" w:cstheme="majorHAnsi"/>
        </w:rPr>
        <w:t xml:space="preserve">In relation to compliments received the reasons are detailed in the chart below. </w:t>
      </w:r>
    </w:p>
    <w:p w14:paraId="152E9B40" w14:textId="77777777" w:rsidR="00E87D50" w:rsidRPr="00B40537" w:rsidRDefault="00B603D6">
      <w:pPr>
        <w:pStyle w:val="NormalWeb"/>
        <w:spacing w:after="280"/>
        <w:rPr>
          <w:rFonts w:asciiTheme="majorHAnsi" w:hAnsiTheme="majorHAnsi" w:cstheme="majorHAnsi"/>
        </w:rPr>
      </w:pPr>
      <w:r w:rsidRPr="00B40537">
        <w:rPr>
          <w:rFonts w:asciiTheme="majorHAnsi" w:hAnsiTheme="majorHAnsi" w:cstheme="majorHAnsi"/>
          <w:noProof/>
        </w:rPr>
        <w:drawing>
          <wp:anchor distT="0" distB="0" distL="114300" distR="114300" simplePos="0" relativeHeight="251701248" behindDoc="0" locked="0" layoutInCell="1" allowOverlap="1" wp14:anchorId="07D7E193" wp14:editId="01A3FA1C">
            <wp:simplePos x="0" y="0"/>
            <wp:positionH relativeFrom="margin">
              <wp:align>center</wp:align>
            </wp:positionH>
            <wp:positionV relativeFrom="paragraph">
              <wp:posOffset>-4265</wp:posOffset>
            </wp:positionV>
            <wp:extent cx="4521600" cy="2372400"/>
            <wp:effectExtent l="0" t="0" r="12700" b="8890"/>
            <wp:wrapTopAndBottom/>
            <wp:docPr id="5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14:paraId="2CC21319" w14:textId="4D260E97" w:rsidR="00793817" w:rsidRDefault="00B603D6">
      <w:pPr>
        <w:pStyle w:val="NormalWeb"/>
        <w:spacing w:beforeAutospacing="0" w:after="0" w:afterAutospacing="0"/>
        <w:rPr>
          <w:rFonts w:asciiTheme="majorHAnsi" w:hAnsiTheme="majorHAnsi" w:cstheme="majorHAnsi"/>
        </w:rPr>
      </w:pPr>
      <w:r w:rsidRPr="00B40537">
        <w:rPr>
          <w:rFonts w:asciiTheme="majorHAnsi" w:hAnsiTheme="majorHAnsi" w:cstheme="majorHAnsi"/>
        </w:rPr>
        <w:t xml:space="preserve">The biggest percentage of compliments received relates to clinical care, followed by going the extra mile and communication which is excellent and a testament to the hard work and dedication of our staff and volunteers. </w:t>
      </w:r>
    </w:p>
    <w:p w14:paraId="480AA440" w14:textId="77777777" w:rsidR="00793817" w:rsidRPr="00B40537" w:rsidRDefault="00793817">
      <w:pPr>
        <w:pStyle w:val="NormalWeb"/>
        <w:spacing w:beforeAutospacing="0" w:after="0" w:afterAutospacing="0"/>
        <w:rPr>
          <w:rFonts w:asciiTheme="majorHAnsi" w:hAnsiTheme="majorHAnsi" w:cstheme="majorHAnsi"/>
        </w:rPr>
      </w:pPr>
    </w:p>
    <w:tbl>
      <w:tblPr>
        <w:tblStyle w:val="TableGrid"/>
        <w:tblW w:w="9776" w:type="dxa"/>
        <w:tblLayout w:type="fixed"/>
        <w:tblLook w:val="04A0" w:firstRow="1" w:lastRow="0" w:firstColumn="1" w:lastColumn="0" w:noHBand="0" w:noVBand="1"/>
      </w:tblPr>
      <w:tblGrid>
        <w:gridCol w:w="9776"/>
      </w:tblGrid>
      <w:tr w:rsidR="00E87D50" w:rsidRPr="00B40537" w14:paraId="58EAB0C0" w14:textId="77777777" w:rsidTr="00793817">
        <w:tc>
          <w:tcPr>
            <w:tcW w:w="9776" w:type="dxa"/>
            <w:shd w:val="clear" w:color="auto" w:fill="B2A1C7" w:themeFill="accent4" w:themeFillTint="99"/>
          </w:tcPr>
          <w:p w14:paraId="1784B399" w14:textId="77777777" w:rsidR="00E87D50" w:rsidRPr="00B40537" w:rsidRDefault="00B603D6" w:rsidP="00793817">
            <w:pPr>
              <w:pStyle w:val="MainLevel"/>
              <w:jc w:val="center"/>
            </w:pPr>
            <w:bookmarkStart w:id="52" w:name="_Toc216792821"/>
            <w:r w:rsidRPr="00793817">
              <w:rPr>
                <w:color w:val="000000" w:themeColor="text1"/>
              </w:rPr>
              <w:t>Patient Story</w:t>
            </w:r>
            <w:bookmarkEnd w:id="52"/>
          </w:p>
        </w:tc>
      </w:tr>
    </w:tbl>
    <w:p w14:paraId="3E8B8A1F" w14:textId="77777777" w:rsidR="00E87D50" w:rsidRPr="00B40537" w:rsidRDefault="00E87D50">
      <w:pPr>
        <w:pStyle w:val="NormalWeb"/>
        <w:spacing w:beforeAutospacing="0" w:after="0" w:afterAutospacing="0"/>
        <w:rPr>
          <w:rFonts w:asciiTheme="majorHAnsi" w:hAnsiTheme="majorHAnsi" w:cstheme="majorHAnsi"/>
        </w:rPr>
      </w:pPr>
    </w:p>
    <w:tbl>
      <w:tblPr>
        <w:tblStyle w:val="TableGrid0"/>
        <w:tblW w:w="0" w:type="auto"/>
        <w:tblInd w:w="5" w:type="dxa"/>
        <w:tblLayout w:type="fixed"/>
        <w:tblLook w:val="04A0" w:firstRow="1" w:lastRow="0" w:firstColumn="1" w:lastColumn="0" w:noHBand="0" w:noVBand="1"/>
      </w:tblPr>
      <w:tblGrid>
        <w:gridCol w:w="10070"/>
      </w:tblGrid>
      <w:tr w:rsidR="00CA090B" w:rsidRPr="00B40537" w14:paraId="6C809E9D" w14:textId="77777777" w:rsidTr="00793817">
        <w:tc>
          <w:tcPr>
            <w:tcW w:w="10070" w:type="dxa"/>
          </w:tcPr>
          <w:p w14:paraId="0A3E8EF9" w14:textId="77777777" w:rsidR="003325CA" w:rsidRPr="00B40537" w:rsidRDefault="003325CA" w:rsidP="00793817">
            <w:pPr>
              <w:pStyle w:val="NoSpacing"/>
              <w:jc w:val="center"/>
              <w:rPr>
                <w:rFonts w:asciiTheme="majorHAnsi" w:hAnsiTheme="majorHAnsi" w:cstheme="majorHAnsi"/>
                <w:b/>
                <w:sz w:val="28"/>
                <w:szCs w:val="28"/>
              </w:rPr>
            </w:pPr>
          </w:p>
          <w:p w14:paraId="1CFF936B" w14:textId="77777777" w:rsidR="003325CA" w:rsidRPr="00B40537" w:rsidRDefault="003325CA" w:rsidP="00793817">
            <w:pPr>
              <w:pStyle w:val="NoSpacing"/>
              <w:jc w:val="center"/>
              <w:rPr>
                <w:rFonts w:asciiTheme="majorHAnsi" w:hAnsiTheme="majorHAnsi" w:cstheme="majorHAnsi"/>
                <w:b/>
                <w:sz w:val="28"/>
                <w:szCs w:val="28"/>
              </w:rPr>
            </w:pPr>
            <w:r w:rsidRPr="00B40537">
              <w:rPr>
                <w:rFonts w:asciiTheme="majorHAnsi" w:hAnsiTheme="majorHAnsi" w:cstheme="majorHAnsi"/>
                <w:sz w:val="22"/>
                <w:szCs w:val="22"/>
                <w:lang w:val="en-US" w:eastAsia="en-US"/>
              </w:rPr>
              <w:object w:dxaOrig="3708" w:dyaOrig="4944" w14:anchorId="5902A46F">
                <v:shape id="_x0000_i1025" type="#_x0000_t75" style="width:184.8pt;height:197.4pt" o:ole="">
                  <v:imagedata r:id="rId60" o:title=""/>
                </v:shape>
                <o:OLEObject Type="Embed" ProgID="PBrush" ShapeID="_x0000_i1025" DrawAspect="Content" ObjectID="_1827574030" r:id="rId61"/>
              </w:object>
            </w:r>
            <w:r w:rsidRPr="00B40537">
              <w:rPr>
                <w:rFonts w:asciiTheme="majorHAnsi" w:hAnsiTheme="majorHAnsi" w:cstheme="majorHAnsi"/>
              </w:rPr>
              <w:t xml:space="preserve">   </w:t>
            </w:r>
            <w:r w:rsidRPr="00B40537">
              <w:rPr>
                <w:rFonts w:asciiTheme="majorHAnsi" w:hAnsiTheme="majorHAnsi" w:cstheme="majorHAnsi"/>
                <w:sz w:val="22"/>
                <w:szCs w:val="22"/>
                <w:lang w:val="en-US" w:eastAsia="en-US"/>
              </w:rPr>
              <w:object w:dxaOrig="4619" w:dyaOrig="3468" w14:anchorId="556B2B36">
                <v:shape id="_x0000_i1026" type="#_x0000_t75" style="width:199.8pt;height:173.4pt" o:ole="">
                  <v:imagedata r:id="rId62" o:title=""/>
                </v:shape>
                <o:OLEObject Type="Embed" ProgID="PBrush" ShapeID="_x0000_i1026" DrawAspect="Content" ObjectID="_1827574031" r:id="rId63"/>
              </w:object>
            </w:r>
          </w:p>
          <w:p w14:paraId="13C722C0" w14:textId="77777777" w:rsidR="003325CA" w:rsidRPr="00B40537" w:rsidRDefault="003325CA" w:rsidP="00793817">
            <w:pPr>
              <w:pStyle w:val="NoSpacing"/>
              <w:jc w:val="center"/>
              <w:rPr>
                <w:rFonts w:asciiTheme="majorHAnsi" w:hAnsiTheme="majorHAnsi" w:cstheme="majorHAnsi"/>
                <w:b/>
                <w:sz w:val="28"/>
                <w:szCs w:val="28"/>
              </w:rPr>
            </w:pPr>
          </w:p>
          <w:p w14:paraId="598CE00A" w14:textId="77777777" w:rsidR="003325CA" w:rsidRPr="00B40537" w:rsidRDefault="003325CA" w:rsidP="00793817">
            <w:pPr>
              <w:pStyle w:val="NoSpacing"/>
              <w:rPr>
                <w:rFonts w:asciiTheme="majorHAnsi" w:hAnsiTheme="majorHAnsi" w:cstheme="majorHAnsi"/>
                <w:b/>
                <w:sz w:val="28"/>
                <w:szCs w:val="28"/>
              </w:rPr>
            </w:pPr>
          </w:p>
          <w:p w14:paraId="0C7BB3A2" w14:textId="77777777" w:rsidR="00CA090B" w:rsidRPr="00B40537" w:rsidRDefault="00CA090B" w:rsidP="00793817">
            <w:pPr>
              <w:pStyle w:val="NoSpacing"/>
              <w:rPr>
                <w:rFonts w:asciiTheme="majorHAnsi" w:hAnsiTheme="majorHAnsi" w:cstheme="majorHAnsi"/>
                <w:b/>
                <w:sz w:val="28"/>
                <w:szCs w:val="28"/>
              </w:rPr>
            </w:pPr>
            <w:r w:rsidRPr="00B40537">
              <w:rPr>
                <w:rFonts w:asciiTheme="majorHAnsi" w:hAnsiTheme="majorHAnsi" w:cstheme="majorHAnsi"/>
                <w:b/>
                <w:sz w:val="28"/>
                <w:szCs w:val="28"/>
              </w:rPr>
              <w:t>Family turned fundraisers to help the work of Bury Hospice</w:t>
            </w:r>
          </w:p>
          <w:p w14:paraId="00A6F2B8"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It is the generosity of our community that helps us to continue providing care and support for people with life-limiting conditions and their families.</w:t>
            </w:r>
          </w:p>
          <w:p w14:paraId="1FBA3E69" w14:textId="77777777" w:rsidR="00CA090B" w:rsidRPr="00B40537" w:rsidRDefault="00CA090B" w:rsidP="00793817">
            <w:pPr>
              <w:pStyle w:val="NoSpacing"/>
              <w:rPr>
                <w:rFonts w:asciiTheme="majorHAnsi" w:hAnsiTheme="majorHAnsi" w:cstheme="majorHAnsi"/>
              </w:rPr>
            </w:pPr>
          </w:p>
          <w:p w14:paraId="46F8F326"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Dave’s wife, Amanda died in our inpatient unit in March 2024 after a long fight with cancer.</w:t>
            </w:r>
            <w:r w:rsidRPr="00B40537">
              <w:rPr>
                <w:rStyle w:val="Emphasis"/>
                <w:rFonts w:asciiTheme="majorHAnsi" w:hAnsiTheme="majorHAnsi" w:cstheme="majorHAnsi"/>
                <w:b/>
                <w:bCs/>
                <w:color w:val="FFFFFF"/>
              </w:rPr>
              <w:t xml:space="preserve"> </w:t>
            </w:r>
            <w:r w:rsidRPr="00B40537">
              <w:rPr>
                <w:rFonts w:asciiTheme="majorHAnsi" w:hAnsiTheme="majorHAnsi" w:cstheme="majorHAnsi"/>
              </w:rPr>
              <w:t>Their daughter Jess was aged 15 at the time.</w:t>
            </w:r>
          </w:p>
          <w:p w14:paraId="5794D634" w14:textId="77777777" w:rsidR="00CA090B" w:rsidRPr="00B40537" w:rsidRDefault="00CA090B" w:rsidP="00793817">
            <w:pPr>
              <w:pStyle w:val="NoSpacing"/>
              <w:rPr>
                <w:rFonts w:asciiTheme="majorHAnsi" w:hAnsiTheme="majorHAnsi" w:cstheme="majorHAnsi"/>
              </w:rPr>
            </w:pPr>
          </w:p>
          <w:p w14:paraId="03EA5F83" w14:textId="379DF48B"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Six months after Amanda was first diagnosed with bowel cancer in 2018, doctors discovered that it had spread to her lungs.</w:t>
            </w:r>
          </w:p>
          <w:p w14:paraId="515ED72A" w14:textId="77777777" w:rsidR="00CA090B" w:rsidRPr="00B40537" w:rsidRDefault="00CA090B" w:rsidP="00793817">
            <w:pPr>
              <w:pStyle w:val="NoSpacing"/>
              <w:rPr>
                <w:rFonts w:asciiTheme="majorHAnsi" w:hAnsiTheme="majorHAnsi" w:cstheme="majorHAnsi"/>
              </w:rPr>
            </w:pPr>
          </w:p>
          <w:p w14:paraId="3E715766"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After Amanda’s final round of chemotherapy in November 2023, the family decided to spend Christmas at home. She cooked Christmas dinner but couldn't eat it, and that night she took a turn for the worse. She was admitted to The Christie on Boxing Day and spent the next few months in and out of the specialist cancer facility in Manchester until March when the doctors suggested stopping all treatment. She was told she had two to four months left to live.</w:t>
            </w:r>
          </w:p>
          <w:p w14:paraId="1D32C889" w14:textId="41BB4B97" w:rsidR="00CA090B" w:rsidRPr="00B40537" w:rsidRDefault="00CA090B" w:rsidP="00793817">
            <w:pPr>
              <w:pStyle w:val="NoSpacing"/>
              <w:rPr>
                <w:rStyle w:val="Emphasis"/>
                <w:rFonts w:asciiTheme="majorHAnsi" w:hAnsiTheme="majorHAnsi" w:cstheme="majorHAnsi"/>
                <w:b/>
                <w:bCs/>
                <w:color w:val="FFFFFF"/>
              </w:rPr>
            </w:pPr>
            <w:r w:rsidRPr="00B40537">
              <w:rPr>
                <w:rFonts w:asciiTheme="majorHAnsi" w:hAnsiTheme="majorHAnsi" w:cstheme="majorHAnsi"/>
              </w:rPr>
              <w:t>Dave said: “On the day Amanda left The Christie, she said, we're going to </w:t>
            </w:r>
            <w:hyperlink r:id="rId64" w:history="1">
              <w:r w:rsidRPr="00B40537">
                <w:rPr>
                  <w:rFonts w:asciiTheme="majorHAnsi" w:hAnsiTheme="majorHAnsi" w:cstheme="majorHAnsi"/>
                </w:rPr>
                <w:t>Bury</w:t>
              </w:r>
            </w:hyperlink>
            <w:r w:rsidRPr="00B40537">
              <w:rPr>
                <w:rFonts w:asciiTheme="majorHAnsi" w:hAnsiTheme="majorHAnsi" w:cstheme="majorHAnsi"/>
                <w:u w:val="single"/>
              </w:rPr>
              <w:t xml:space="preserve"> </w:t>
            </w:r>
            <w:r w:rsidRPr="00B40537">
              <w:rPr>
                <w:rFonts w:asciiTheme="majorHAnsi" w:hAnsiTheme="majorHAnsi" w:cstheme="majorHAnsi"/>
              </w:rPr>
              <w:t>Hospice to have a look around. Amanda instantly knew that was where she wanted to spend her final days.</w:t>
            </w:r>
            <w:r w:rsidRPr="00B40537">
              <w:rPr>
                <w:rStyle w:val="Emphasis"/>
                <w:rFonts w:asciiTheme="majorHAnsi" w:hAnsiTheme="majorHAnsi" w:cstheme="majorHAnsi"/>
                <w:b/>
                <w:bCs/>
                <w:color w:val="FFFFFF"/>
              </w:rPr>
              <w:t>ge:</w:t>
            </w:r>
          </w:p>
          <w:p w14:paraId="4043F980" w14:textId="77777777" w:rsidR="00CA090B" w:rsidRPr="00B40537" w:rsidRDefault="00CA090B" w:rsidP="00793817">
            <w:pPr>
              <w:pStyle w:val="NoSpacing"/>
              <w:rPr>
                <w:rStyle w:val="Emphasis"/>
                <w:rFonts w:asciiTheme="majorHAnsi" w:hAnsiTheme="majorHAnsi" w:cstheme="majorHAnsi"/>
                <w:b/>
                <w:bCs/>
                <w:color w:val="FFFFFF"/>
              </w:rPr>
            </w:pPr>
          </w:p>
          <w:p w14:paraId="0AC77327"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“Bury Hospice felt like a 'home from home'. Amanda spent less than a week in the Inpatient Unit before she died on March 20</w:t>
            </w:r>
            <w:r w:rsidRPr="00B40537">
              <w:rPr>
                <w:rFonts w:asciiTheme="majorHAnsi" w:hAnsiTheme="majorHAnsi" w:cstheme="majorHAnsi"/>
                <w:vertAlign w:val="superscript"/>
              </w:rPr>
              <w:t>th</w:t>
            </w:r>
            <w:r w:rsidRPr="00B40537">
              <w:rPr>
                <w:rFonts w:asciiTheme="majorHAnsi" w:hAnsiTheme="majorHAnsi" w:cstheme="majorHAnsi"/>
              </w:rPr>
              <w:t>.</w:t>
            </w:r>
          </w:p>
          <w:p w14:paraId="209955DE" w14:textId="77777777" w:rsidR="00CA090B" w:rsidRPr="00B40537" w:rsidRDefault="00CA090B" w:rsidP="00793817">
            <w:pPr>
              <w:pStyle w:val="NoSpacing"/>
              <w:jc w:val="center"/>
              <w:rPr>
                <w:rFonts w:asciiTheme="majorHAnsi" w:hAnsiTheme="majorHAnsi" w:cstheme="majorHAnsi"/>
              </w:rPr>
            </w:pPr>
          </w:p>
          <w:p w14:paraId="357FF00E"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“She was chatting and giggling when she arrived and was taken outside in a wheelchair to the Japanese garden in the grounds of the hospice before her condition deteriorated. The sun was shining and she said she just wanted to feel the sun on her face."</w:t>
            </w:r>
          </w:p>
          <w:p w14:paraId="08290ABA" w14:textId="77777777" w:rsidR="00CA090B" w:rsidRPr="00B40537" w:rsidRDefault="00CA090B" w:rsidP="00793817">
            <w:pPr>
              <w:pStyle w:val="NoSpacing"/>
              <w:rPr>
                <w:rFonts w:asciiTheme="majorHAnsi" w:hAnsiTheme="majorHAnsi" w:cstheme="majorHAnsi"/>
              </w:rPr>
            </w:pPr>
          </w:p>
          <w:p w14:paraId="298D398B"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In her final days, the hospice arranged a hand casting for the family who called themselves the 'three musketeers'. Dave added: "It was one of the last things she saw, our three hands together. She actually saw it the day she passed which makes it even more special.</w:t>
            </w:r>
          </w:p>
          <w:p w14:paraId="29E55746" w14:textId="77777777" w:rsidR="00CA090B" w:rsidRPr="00B40537" w:rsidRDefault="00CA090B" w:rsidP="00793817">
            <w:pPr>
              <w:pStyle w:val="NoSpacing"/>
              <w:rPr>
                <w:rFonts w:asciiTheme="majorHAnsi" w:hAnsiTheme="majorHAnsi" w:cstheme="majorHAnsi"/>
              </w:rPr>
            </w:pPr>
            <w:r w:rsidRPr="00B40537">
              <w:rPr>
                <w:rStyle w:val="Emphasis"/>
                <w:rFonts w:asciiTheme="majorHAnsi" w:hAnsiTheme="majorHAnsi" w:cstheme="majorHAnsi"/>
                <w:b/>
                <w:bCs/>
                <w:color w:val="FFFFFF"/>
              </w:rPr>
              <w:t>Supplied)</w:t>
            </w:r>
          </w:p>
          <w:p w14:paraId="5E51E0BC"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“Amanda was a beautiful and amazing person who was loved by so many. When Amanda died I felt a deep connection with the hospice and wanted to give something back.</w:t>
            </w:r>
          </w:p>
          <w:p w14:paraId="06277101" w14:textId="77777777" w:rsidR="00CA090B" w:rsidRPr="00B40537" w:rsidRDefault="00CA090B" w:rsidP="00793817">
            <w:pPr>
              <w:pStyle w:val="NoSpacing"/>
              <w:rPr>
                <w:rFonts w:asciiTheme="majorHAnsi" w:hAnsiTheme="majorHAnsi" w:cstheme="majorHAnsi"/>
              </w:rPr>
            </w:pPr>
          </w:p>
          <w:p w14:paraId="3226EBA3"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"I couldn’t believe what they did for us wouldn’t be possible without charitable donations, and I am passionate about making sure I help keep the doors open so other families can receive the love and care we did.</w:t>
            </w:r>
          </w:p>
          <w:p w14:paraId="1A2A8F81" w14:textId="77777777" w:rsidR="00CA090B" w:rsidRPr="00B40537" w:rsidRDefault="00CA090B" w:rsidP="00793817">
            <w:pPr>
              <w:pStyle w:val="NoSpacing"/>
              <w:rPr>
                <w:rFonts w:asciiTheme="majorHAnsi" w:hAnsiTheme="majorHAnsi" w:cstheme="majorHAnsi"/>
              </w:rPr>
            </w:pPr>
          </w:p>
          <w:p w14:paraId="6DCFFFAF" w14:textId="77777777" w:rsidR="00CA090B" w:rsidRPr="00B40537" w:rsidRDefault="00CA090B" w:rsidP="00793817">
            <w:pPr>
              <w:pStyle w:val="NoSpacing"/>
              <w:rPr>
                <w:rFonts w:asciiTheme="majorHAnsi" w:hAnsiTheme="majorHAnsi" w:cstheme="majorHAnsi"/>
              </w:rPr>
            </w:pPr>
            <w:r w:rsidRPr="00B40537">
              <w:rPr>
                <w:rFonts w:asciiTheme="majorHAnsi" w:hAnsiTheme="majorHAnsi" w:cstheme="majorHAnsi"/>
              </w:rPr>
              <w:t>"Myself and Jess can never thank Bury Hospice enough for caring for Amanda and looking after us through a devastating time, each and every member of staff are amazing and very special people.”</w:t>
            </w:r>
          </w:p>
          <w:p w14:paraId="5F90C2C6" w14:textId="77777777" w:rsidR="007B0B52" w:rsidRPr="00B40537" w:rsidRDefault="007B0B52" w:rsidP="00793817">
            <w:pPr>
              <w:pStyle w:val="NoSpacing"/>
              <w:rPr>
                <w:rFonts w:asciiTheme="majorHAnsi" w:hAnsiTheme="majorHAnsi" w:cstheme="majorHAnsi"/>
              </w:rPr>
            </w:pPr>
          </w:p>
          <w:p w14:paraId="4F8D1CD7" w14:textId="494FCA8E" w:rsidR="007B0B52" w:rsidRPr="00B40537" w:rsidRDefault="00CA090B" w:rsidP="00793817">
            <w:pPr>
              <w:pStyle w:val="NoSpacing"/>
              <w:rPr>
                <w:rFonts w:asciiTheme="majorHAnsi" w:hAnsiTheme="majorHAnsi" w:cstheme="majorHAnsi"/>
              </w:rPr>
            </w:pPr>
            <w:r w:rsidRPr="00B40537">
              <w:rPr>
                <w:rFonts w:asciiTheme="majorHAnsi" w:hAnsiTheme="majorHAnsi" w:cstheme="majorHAnsi"/>
              </w:rPr>
              <w:t>Dave and Jess have already raised over £27,000 for the hospice including Amanda’s funeral donations and taking part in the hospice’s Memory Walk and the Bury 10k, as part of “Team Mand”.</w:t>
            </w:r>
          </w:p>
          <w:p w14:paraId="7398480F" w14:textId="77777777" w:rsidR="007B0B52" w:rsidRPr="00B40537" w:rsidRDefault="007B0B52" w:rsidP="00793817">
            <w:pPr>
              <w:pStyle w:val="NoSpacing"/>
              <w:rPr>
                <w:rFonts w:asciiTheme="majorHAnsi" w:hAnsiTheme="majorHAnsi" w:cstheme="majorHAnsi"/>
              </w:rPr>
            </w:pPr>
          </w:p>
          <w:p w14:paraId="34114D21" w14:textId="2D43C7C7" w:rsidR="00CA090B" w:rsidRDefault="00CA090B" w:rsidP="00793817">
            <w:pPr>
              <w:pStyle w:val="NoSpacing"/>
              <w:rPr>
                <w:rFonts w:asciiTheme="majorHAnsi" w:hAnsiTheme="majorHAnsi" w:cstheme="majorHAnsi"/>
              </w:rPr>
            </w:pPr>
            <w:r w:rsidRPr="00B40537">
              <w:rPr>
                <w:rFonts w:asciiTheme="majorHAnsi" w:hAnsiTheme="majorHAnsi" w:cstheme="majorHAnsi"/>
              </w:rPr>
              <w:lastRenderedPageBreak/>
              <w:t>They have also organised a Monsters Ball to continue raising vital funds. They have proudly displayed a heart on our heart wall in Amanda’s memory.</w:t>
            </w:r>
          </w:p>
          <w:p w14:paraId="1C53FAF5" w14:textId="01F0E489" w:rsidR="00793817" w:rsidRDefault="00793817" w:rsidP="00793817">
            <w:pPr>
              <w:pStyle w:val="NoSpacing"/>
              <w:rPr>
                <w:rFonts w:asciiTheme="majorHAnsi" w:hAnsiTheme="majorHAnsi" w:cstheme="majorHAnsi"/>
              </w:rPr>
            </w:pPr>
          </w:p>
          <w:p w14:paraId="117C1DF0" w14:textId="77777777" w:rsidR="00793817" w:rsidRPr="00B40537" w:rsidRDefault="00793817" w:rsidP="00793817">
            <w:pPr>
              <w:pStyle w:val="NoSpacing"/>
              <w:rPr>
                <w:rFonts w:asciiTheme="majorHAnsi" w:hAnsiTheme="majorHAnsi" w:cstheme="majorHAnsi"/>
              </w:rPr>
            </w:pPr>
          </w:p>
          <w:p w14:paraId="16C8B133" w14:textId="77777777" w:rsidR="003325CA" w:rsidRPr="00B40537" w:rsidRDefault="003325CA" w:rsidP="00793817">
            <w:pPr>
              <w:pStyle w:val="NoSpacing"/>
              <w:jc w:val="center"/>
              <w:rPr>
                <w:rFonts w:asciiTheme="majorHAnsi" w:hAnsiTheme="majorHAnsi" w:cstheme="majorHAnsi"/>
              </w:rPr>
            </w:pPr>
          </w:p>
          <w:p w14:paraId="2C42AC93" w14:textId="77777777" w:rsidR="003325CA" w:rsidRPr="00B40537" w:rsidRDefault="00097C4D" w:rsidP="00793817">
            <w:pPr>
              <w:pStyle w:val="NoSpacing"/>
              <w:jc w:val="center"/>
              <w:rPr>
                <w:rFonts w:asciiTheme="majorHAnsi" w:hAnsiTheme="majorHAnsi" w:cstheme="majorHAnsi"/>
              </w:rPr>
            </w:pPr>
            <w:r w:rsidRPr="00B40537">
              <w:rPr>
                <w:rFonts w:asciiTheme="majorHAnsi" w:hAnsiTheme="majorHAnsi" w:cstheme="majorHAnsi"/>
                <w:sz w:val="22"/>
                <w:szCs w:val="22"/>
                <w:lang w:val="en-US" w:eastAsia="en-US"/>
              </w:rPr>
              <w:object w:dxaOrig="5905" w:dyaOrig="4428" w14:anchorId="0B659E3F">
                <v:shape id="_x0000_i1027" type="#_x0000_t75" style="width:183.6pt;height:220.8pt" o:ole="">
                  <v:imagedata r:id="rId65" o:title=""/>
                </v:shape>
                <o:OLEObject Type="Embed" ProgID="PBrush" ShapeID="_x0000_i1027" DrawAspect="Content" ObjectID="_1827574032" r:id="rId66"/>
              </w:object>
            </w:r>
            <w:r w:rsidR="003325CA" w:rsidRPr="00B40537">
              <w:rPr>
                <w:rFonts w:asciiTheme="majorHAnsi" w:hAnsiTheme="majorHAnsi" w:cstheme="majorHAnsi"/>
              </w:rPr>
              <w:t xml:space="preserve"> </w:t>
            </w:r>
            <w:r w:rsidRPr="00B40537">
              <w:rPr>
                <w:rFonts w:asciiTheme="majorHAnsi" w:hAnsiTheme="majorHAnsi" w:cstheme="majorHAnsi"/>
                <w:sz w:val="22"/>
                <w:szCs w:val="22"/>
                <w:lang w:val="en-US" w:eastAsia="en-US"/>
              </w:rPr>
              <w:object w:dxaOrig="5400" w:dyaOrig="7201" w14:anchorId="54749261">
                <v:shape id="_x0000_i1028" type="#_x0000_t75" style="width:199.8pt;height:218.4pt" o:ole="">
                  <v:imagedata r:id="rId67" o:title=""/>
                </v:shape>
                <o:OLEObject Type="Embed" ProgID="PBrush" ShapeID="_x0000_i1028" DrawAspect="Content" ObjectID="_1827574033" r:id="rId68"/>
              </w:object>
            </w:r>
            <w:r w:rsidR="003325CA" w:rsidRPr="00B40537">
              <w:rPr>
                <w:rFonts w:asciiTheme="majorHAnsi" w:hAnsiTheme="majorHAnsi" w:cstheme="majorHAnsi"/>
                <w:sz w:val="22"/>
                <w:szCs w:val="22"/>
                <w:lang w:val="en-US" w:eastAsia="en-US"/>
              </w:rPr>
              <w:object w:dxaOrig="7681" w:dyaOrig="5760" w14:anchorId="1720759F">
                <v:shape id="_x0000_i1029" type="#_x0000_t75" style="width:384.6pt;height:222pt" o:ole="">
                  <v:imagedata r:id="rId69" o:title=""/>
                </v:shape>
                <o:OLEObject Type="Embed" ProgID="PBrush" ShapeID="_x0000_i1029" DrawAspect="Content" ObjectID="_1827574034" r:id="rId70"/>
              </w:object>
            </w:r>
          </w:p>
          <w:p w14:paraId="14E33BFA" w14:textId="77777777" w:rsidR="00CA090B" w:rsidRPr="00B40537" w:rsidRDefault="00CA090B" w:rsidP="00793817">
            <w:pPr>
              <w:pStyle w:val="NoSpacing"/>
              <w:jc w:val="center"/>
              <w:rPr>
                <w:rFonts w:asciiTheme="majorHAnsi" w:hAnsiTheme="majorHAnsi" w:cstheme="majorHAnsi"/>
                <w:b/>
                <w:sz w:val="28"/>
                <w:szCs w:val="28"/>
              </w:rPr>
            </w:pPr>
          </w:p>
        </w:tc>
      </w:tr>
    </w:tbl>
    <w:p w14:paraId="1D51E11A" w14:textId="77777777" w:rsidR="00E87D50" w:rsidRPr="00B40537" w:rsidRDefault="00E87D50">
      <w:pPr>
        <w:pStyle w:val="NormalWeb"/>
        <w:spacing w:before="280" w:after="280"/>
        <w:rPr>
          <w:rFonts w:asciiTheme="majorHAnsi" w:hAnsiTheme="majorHAnsi" w:cstheme="majorHAnsi"/>
        </w:rPr>
      </w:pPr>
    </w:p>
    <w:p w14:paraId="693563DB" w14:textId="77777777" w:rsidR="00E87D50" w:rsidRPr="00B40537" w:rsidRDefault="00E87D50">
      <w:pPr>
        <w:pStyle w:val="NormalWeb"/>
        <w:spacing w:before="280" w:after="280"/>
        <w:rPr>
          <w:rFonts w:asciiTheme="majorHAnsi" w:hAnsiTheme="majorHAnsi" w:cstheme="majorHAnsi"/>
        </w:rPr>
      </w:pPr>
    </w:p>
    <w:p w14:paraId="4044B85A" w14:textId="77777777" w:rsidR="00E87D50" w:rsidRPr="00B40537" w:rsidRDefault="00E87D50">
      <w:pPr>
        <w:rPr>
          <w:rFonts w:asciiTheme="majorHAnsi" w:hAnsiTheme="majorHAnsi" w:cstheme="majorHAnsi"/>
        </w:rPr>
        <w:sectPr w:rsidR="00E87D50" w:rsidRPr="00B40537" w:rsidSect="00B40537">
          <w:type w:val="continuous"/>
          <w:pgSz w:w="12240" w:h="15840"/>
          <w:pgMar w:top="1440" w:right="1080" w:bottom="1440" w:left="1080" w:header="0" w:footer="0" w:gutter="0"/>
          <w:cols w:space="720"/>
          <w:formProt w:val="0"/>
          <w:docGrid w:linePitch="360" w:charSpace="4096"/>
        </w:sectPr>
      </w:pPr>
    </w:p>
    <w:p w14:paraId="5B8A6D16" w14:textId="1CAB9E24" w:rsidR="00596E16" w:rsidRPr="00B40537" w:rsidRDefault="00596E16">
      <w:pPr>
        <w:pStyle w:val="NormalWeb"/>
        <w:spacing w:before="280" w:after="280"/>
        <w:rPr>
          <w:rFonts w:asciiTheme="majorHAnsi" w:hAnsiTheme="majorHAnsi" w:cstheme="majorHAnsi"/>
        </w:rPr>
      </w:pPr>
    </w:p>
    <w:tbl>
      <w:tblPr>
        <w:tblStyle w:val="TableGrid"/>
        <w:tblW w:w="8630" w:type="dxa"/>
        <w:tblLayout w:type="fixed"/>
        <w:tblLook w:val="04A0" w:firstRow="1" w:lastRow="0" w:firstColumn="1" w:lastColumn="0" w:noHBand="0" w:noVBand="1"/>
      </w:tblPr>
      <w:tblGrid>
        <w:gridCol w:w="8630"/>
      </w:tblGrid>
      <w:tr w:rsidR="00E87D50" w:rsidRPr="00B40537" w14:paraId="3C37B177" w14:textId="77777777">
        <w:tc>
          <w:tcPr>
            <w:tcW w:w="8630" w:type="dxa"/>
            <w:shd w:val="clear" w:color="auto" w:fill="B2A1C7" w:themeFill="accent4" w:themeFillTint="99"/>
          </w:tcPr>
          <w:p w14:paraId="6887C905" w14:textId="77777777" w:rsidR="00E87D50" w:rsidRPr="00B40537" w:rsidRDefault="00B603D6" w:rsidP="00793817">
            <w:pPr>
              <w:pStyle w:val="NormalWeb"/>
              <w:spacing w:after="0"/>
              <w:jc w:val="center"/>
              <w:outlineLvl w:val="0"/>
              <w:rPr>
                <w:rFonts w:asciiTheme="majorHAnsi" w:hAnsiTheme="majorHAnsi" w:cstheme="majorHAnsi"/>
                <w:b/>
                <w:bCs/>
                <w:sz w:val="28"/>
                <w:szCs w:val="28"/>
              </w:rPr>
            </w:pPr>
            <w:bookmarkStart w:id="53" w:name="_Toc216792822"/>
            <w:r w:rsidRPr="00B40537">
              <w:rPr>
                <w:rFonts w:asciiTheme="majorHAnsi" w:hAnsiTheme="majorHAnsi" w:cstheme="majorHAnsi"/>
                <w:b/>
                <w:bCs/>
                <w:sz w:val="28"/>
                <w:szCs w:val="28"/>
              </w:rPr>
              <w:lastRenderedPageBreak/>
              <w:t>Priorities for 2025 - 2026</w:t>
            </w:r>
            <w:bookmarkEnd w:id="53"/>
          </w:p>
        </w:tc>
      </w:tr>
    </w:tbl>
    <w:p w14:paraId="3F9FE43E" w14:textId="77777777" w:rsidR="00F8134D" w:rsidRPr="00B40537" w:rsidRDefault="00F8134D" w:rsidP="00916657">
      <w:pPr>
        <w:spacing w:after="0" w:line="259" w:lineRule="auto"/>
        <w:rPr>
          <w:rFonts w:asciiTheme="majorHAnsi" w:eastAsia="Calibri" w:hAnsiTheme="majorHAnsi" w:cstheme="majorHAnsi"/>
          <w:b/>
          <w:bCs/>
          <w:color w:val="5F497A" w:themeColor="accent4" w:themeShade="BF"/>
          <w:sz w:val="28"/>
          <w:szCs w:val="28"/>
        </w:rPr>
      </w:pPr>
      <w:r w:rsidRPr="00B40537">
        <w:rPr>
          <w:rFonts w:asciiTheme="majorHAnsi" w:eastAsia="Calibri" w:hAnsiTheme="majorHAnsi" w:cstheme="majorHAnsi"/>
          <w:b/>
          <w:bCs/>
          <w:color w:val="5F497A" w:themeColor="accent4" w:themeShade="BF"/>
          <w:sz w:val="28"/>
          <w:szCs w:val="28"/>
        </w:rPr>
        <w:t>SAFE</w:t>
      </w:r>
    </w:p>
    <w:p w14:paraId="7403F955" w14:textId="77777777" w:rsidR="00F8134D" w:rsidRPr="00B40537" w:rsidRDefault="00F8134D" w:rsidP="00F8134D">
      <w:pPr>
        <w:numPr>
          <w:ilvl w:val="0"/>
          <w:numId w:val="15"/>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Reduce pressure ulcers</w:t>
      </w:r>
      <w:r w:rsidRPr="00B40537">
        <w:rPr>
          <w:rFonts w:asciiTheme="majorHAnsi" w:eastAsia="Times New Roman" w:hAnsiTheme="majorHAnsi" w:cstheme="majorHAnsi"/>
          <w:sz w:val="24"/>
          <w:szCs w:val="24"/>
          <w:lang w:val="en-GB" w:eastAsia="en-GB"/>
        </w:rPr>
        <w:t xml:space="preserve"> through targeted training and improved MDT review.</w:t>
      </w:r>
    </w:p>
    <w:p w14:paraId="578137C6" w14:textId="77777777" w:rsidR="00F8134D" w:rsidRPr="00B40537" w:rsidRDefault="00F8134D" w:rsidP="00F8134D">
      <w:pPr>
        <w:numPr>
          <w:ilvl w:val="0"/>
          <w:numId w:val="15"/>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Reduce falls</w:t>
      </w:r>
      <w:r w:rsidRPr="00B40537">
        <w:rPr>
          <w:rFonts w:asciiTheme="majorHAnsi" w:eastAsia="Times New Roman" w:hAnsiTheme="majorHAnsi" w:cstheme="majorHAnsi"/>
          <w:sz w:val="24"/>
          <w:szCs w:val="24"/>
          <w:lang w:val="en-GB" w:eastAsia="en-GB"/>
        </w:rPr>
        <w:t xml:space="preserve"> with a hospice-specific prevention bundle and equipment review.</w:t>
      </w:r>
    </w:p>
    <w:p w14:paraId="1345978D" w14:textId="77777777" w:rsidR="00F8134D" w:rsidRPr="00B40537" w:rsidRDefault="00F8134D" w:rsidP="00F8134D">
      <w:pPr>
        <w:numPr>
          <w:ilvl w:val="0"/>
          <w:numId w:val="15"/>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Improve medication safety</w:t>
      </w:r>
      <w:r w:rsidRPr="00B40537">
        <w:rPr>
          <w:rFonts w:asciiTheme="majorHAnsi" w:eastAsia="Times New Roman" w:hAnsiTheme="majorHAnsi" w:cstheme="majorHAnsi"/>
          <w:sz w:val="24"/>
          <w:szCs w:val="24"/>
          <w:lang w:val="en-GB" w:eastAsia="en-GB"/>
        </w:rPr>
        <w:t xml:space="preserve"> by implementing electronic prescribing and reducing documentation errors.</w:t>
      </w:r>
    </w:p>
    <w:p w14:paraId="6FD3AFEC" w14:textId="77777777" w:rsidR="00F8134D" w:rsidRPr="00B40537" w:rsidRDefault="00F8134D" w:rsidP="00F8134D">
      <w:pPr>
        <w:numPr>
          <w:ilvl w:val="0"/>
          <w:numId w:val="15"/>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Strengthen incident learning</w:t>
      </w:r>
      <w:r w:rsidRPr="00B40537">
        <w:rPr>
          <w:rFonts w:asciiTheme="majorHAnsi" w:eastAsia="Times New Roman" w:hAnsiTheme="majorHAnsi" w:cstheme="majorHAnsi"/>
          <w:sz w:val="24"/>
          <w:szCs w:val="24"/>
          <w:lang w:val="en-GB" w:eastAsia="en-GB"/>
        </w:rPr>
        <w:t xml:space="preserve"> under PSIRF.</w:t>
      </w:r>
    </w:p>
    <w:p w14:paraId="2710D750" w14:textId="77777777" w:rsidR="00F8134D" w:rsidRPr="00B40537" w:rsidRDefault="00F8134D" w:rsidP="00F8134D">
      <w:pPr>
        <w:numPr>
          <w:ilvl w:val="0"/>
          <w:numId w:val="15"/>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Improve data completeness</w:t>
      </w:r>
      <w:r w:rsidRPr="00B40537">
        <w:rPr>
          <w:rFonts w:asciiTheme="majorHAnsi" w:eastAsia="Times New Roman" w:hAnsiTheme="majorHAnsi" w:cstheme="majorHAnsi"/>
          <w:sz w:val="24"/>
          <w:szCs w:val="24"/>
          <w:lang w:val="en-GB" w:eastAsia="en-GB"/>
        </w:rPr>
        <w:t xml:space="preserve"> for risk and equality monitoring.</w:t>
      </w:r>
    </w:p>
    <w:p w14:paraId="4C20E52A" w14:textId="77777777" w:rsidR="00F8134D" w:rsidRPr="00B40537" w:rsidRDefault="00F8134D" w:rsidP="00916657">
      <w:pPr>
        <w:spacing w:after="0" w:line="259" w:lineRule="auto"/>
        <w:rPr>
          <w:rFonts w:asciiTheme="majorHAnsi" w:eastAsia="Calibri" w:hAnsiTheme="majorHAnsi" w:cstheme="majorHAnsi"/>
          <w:b/>
          <w:bCs/>
          <w:color w:val="5F497A" w:themeColor="accent4" w:themeShade="BF"/>
          <w:sz w:val="28"/>
          <w:szCs w:val="28"/>
        </w:rPr>
      </w:pPr>
      <w:r w:rsidRPr="00B40537">
        <w:rPr>
          <w:rFonts w:asciiTheme="majorHAnsi" w:eastAsia="Calibri" w:hAnsiTheme="majorHAnsi" w:cstheme="majorHAnsi"/>
          <w:b/>
          <w:bCs/>
          <w:color w:val="5F497A" w:themeColor="accent4" w:themeShade="BF"/>
          <w:sz w:val="28"/>
          <w:szCs w:val="28"/>
        </w:rPr>
        <w:t>EFFECTIVE</w:t>
      </w:r>
    </w:p>
    <w:p w14:paraId="25045294" w14:textId="77777777" w:rsidR="00F8134D" w:rsidRPr="00B40537" w:rsidRDefault="00F8134D" w:rsidP="00F8134D">
      <w:pPr>
        <w:numPr>
          <w:ilvl w:val="0"/>
          <w:numId w:val="16"/>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Review service capacity</w:t>
      </w:r>
      <w:r w:rsidRPr="00B40537">
        <w:rPr>
          <w:rFonts w:asciiTheme="majorHAnsi" w:eastAsia="Times New Roman" w:hAnsiTheme="majorHAnsi" w:cstheme="majorHAnsi"/>
          <w:sz w:val="24"/>
          <w:szCs w:val="24"/>
          <w:lang w:val="en-GB" w:eastAsia="en-GB"/>
        </w:rPr>
        <w:t>—IPU bed expansion feasibility and Outreach model optimisation.</w:t>
      </w:r>
    </w:p>
    <w:p w14:paraId="31E0B4D5" w14:textId="77777777" w:rsidR="00F8134D" w:rsidRPr="00B40537" w:rsidRDefault="00F8134D" w:rsidP="00F8134D">
      <w:pPr>
        <w:numPr>
          <w:ilvl w:val="0"/>
          <w:numId w:val="16"/>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Improve night-time symptom support</w:t>
      </w:r>
      <w:r w:rsidRPr="00B40537">
        <w:rPr>
          <w:rFonts w:asciiTheme="majorHAnsi" w:eastAsia="Times New Roman" w:hAnsiTheme="majorHAnsi" w:cstheme="majorHAnsi"/>
          <w:sz w:val="24"/>
          <w:szCs w:val="24"/>
          <w:lang w:val="en-GB" w:eastAsia="en-GB"/>
        </w:rPr>
        <w:t xml:space="preserve"> through clearer pathways with community teams.</w:t>
      </w:r>
    </w:p>
    <w:p w14:paraId="14862AA5" w14:textId="77777777" w:rsidR="00F8134D" w:rsidRPr="00B40537" w:rsidRDefault="00F8134D" w:rsidP="00F8134D">
      <w:pPr>
        <w:numPr>
          <w:ilvl w:val="0"/>
          <w:numId w:val="16"/>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Expand education delivery</w:t>
      </w:r>
      <w:r w:rsidRPr="00B40537">
        <w:rPr>
          <w:rFonts w:asciiTheme="majorHAnsi" w:eastAsia="Times New Roman" w:hAnsiTheme="majorHAnsi" w:cstheme="majorHAnsi"/>
          <w:sz w:val="24"/>
          <w:szCs w:val="24"/>
          <w:lang w:val="en-GB" w:eastAsia="en-GB"/>
        </w:rPr>
        <w:t xml:space="preserve"> internally and across the Bury system.</w:t>
      </w:r>
    </w:p>
    <w:p w14:paraId="7A1EB88E" w14:textId="77777777" w:rsidR="00F8134D" w:rsidRPr="00B40537" w:rsidRDefault="00F8134D" w:rsidP="00F8134D">
      <w:pPr>
        <w:numPr>
          <w:ilvl w:val="0"/>
          <w:numId w:val="16"/>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Advance digital transformation</w:t>
      </w:r>
      <w:r w:rsidRPr="00B40537">
        <w:rPr>
          <w:rFonts w:asciiTheme="majorHAnsi" w:eastAsia="Times New Roman" w:hAnsiTheme="majorHAnsi" w:cstheme="majorHAnsi"/>
          <w:sz w:val="24"/>
          <w:szCs w:val="24"/>
          <w:lang w:val="en-GB" w:eastAsia="en-GB"/>
        </w:rPr>
        <w:t>, including full EMR adoption and better use of shared care records.</w:t>
      </w:r>
    </w:p>
    <w:p w14:paraId="079B1DC5" w14:textId="77777777" w:rsidR="00F8134D" w:rsidRPr="00B40537" w:rsidRDefault="00F8134D" w:rsidP="00916657">
      <w:pPr>
        <w:spacing w:after="0" w:line="259" w:lineRule="auto"/>
        <w:rPr>
          <w:rFonts w:asciiTheme="majorHAnsi" w:eastAsia="Calibri" w:hAnsiTheme="majorHAnsi" w:cstheme="majorHAnsi"/>
          <w:b/>
          <w:bCs/>
          <w:color w:val="5F497A" w:themeColor="accent4" w:themeShade="BF"/>
          <w:sz w:val="28"/>
          <w:szCs w:val="28"/>
        </w:rPr>
      </w:pPr>
      <w:r w:rsidRPr="00B40537">
        <w:rPr>
          <w:rFonts w:asciiTheme="majorHAnsi" w:eastAsia="Calibri" w:hAnsiTheme="majorHAnsi" w:cstheme="majorHAnsi"/>
          <w:b/>
          <w:bCs/>
          <w:color w:val="5F497A" w:themeColor="accent4" w:themeShade="BF"/>
          <w:sz w:val="28"/>
          <w:szCs w:val="28"/>
        </w:rPr>
        <w:t>CARING</w:t>
      </w:r>
    </w:p>
    <w:p w14:paraId="64D1BD8B" w14:textId="77777777" w:rsidR="00F8134D" w:rsidRPr="00B40537" w:rsidRDefault="00F8134D" w:rsidP="00F8134D">
      <w:pPr>
        <w:numPr>
          <w:ilvl w:val="0"/>
          <w:numId w:val="17"/>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Increase psychological, bereavement and children’s support capacity</w:t>
      </w:r>
      <w:r w:rsidRPr="00B40537">
        <w:rPr>
          <w:rFonts w:asciiTheme="majorHAnsi" w:eastAsia="Times New Roman" w:hAnsiTheme="majorHAnsi" w:cstheme="majorHAnsi"/>
          <w:sz w:val="24"/>
          <w:szCs w:val="24"/>
          <w:lang w:val="en-GB" w:eastAsia="en-GB"/>
        </w:rPr>
        <w:t>.</w:t>
      </w:r>
    </w:p>
    <w:p w14:paraId="5D61796D" w14:textId="77777777" w:rsidR="00F8134D" w:rsidRPr="00B40537" w:rsidRDefault="00F8134D" w:rsidP="00F8134D">
      <w:pPr>
        <w:numPr>
          <w:ilvl w:val="0"/>
          <w:numId w:val="17"/>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Improve communication skills</w:t>
      </w:r>
      <w:r w:rsidRPr="00B40537">
        <w:rPr>
          <w:rFonts w:asciiTheme="majorHAnsi" w:eastAsia="Times New Roman" w:hAnsiTheme="majorHAnsi" w:cstheme="majorHAnsi"/>
          <w:sz w:val="24"/>
          <w:szCs w:val="24"/>
          <w:lang w:val="en-GB" w:eastAsia="en-GB"/>
        </w:rPr>
        <w:t xml:space="preserve"> across teams, addressing themes from complaints.</w:t>
      </w:r>
    </w:p>
    <w:p w14:paraId="7F7C3511" w14:textId="77777777" w:rsidR="00F8134D" w:rsidRPr="00B40537" w:rsidRDefault="00F8134D" w:rsidP="00F8134D">
      <w:pPr>
        <w:numPr>
          <w:ilvl w:val="0"/>
          <w:numId w:val="17"/>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Strengthen cultural competence</w:t>
      </w:r>
      <w:r w:rsidRPr="00B40537">
        <w:rPr>
          <w:rFonts w:asciiTheme="majorHAnsi" w:eastAsia="Times New Roman" w:hAnsiTheme="majorHAnsi" w:cstheme="majorHAnsi"/>
          <w:sz w:val="24"/>
          <w:szCs w:val="24"/>
          <w:lang w:val="en-GB" w:eastAsia="en-GB"/>
        </w:rPr>
        <w:t xml:space="preserve"> to support diverse patients and families.</w:t>
      </w:r>
    </w:p>
    <w:p w14:paraId="5B0CD1A6" w14:textId="77777777" w:rsidR="00F8134D" w:rsidRPr="00B40537" w:rsidRDefault="00F8134D" w:rsidP="00916657">
      <w:pPr>
        <w:spacing w:after="0" w:line="259" w:lineRule="auto"/>
        <w:rPr>
          <w:rFonts w:asciiTheme="majorHAnsi" w:eastAsia="Calibri" w:hAnsiTheme="majorHAnsi" w:cstheme="majorHAnsi"/>
          <w:b/>
          <w:bCs/>
          <w:color w:val="5F497A" w:themeColor="accent4" w:themeShade="BF"/>
          <w:sz w:val="28"/>
          <w:szCs w:val="28"/>
        </w:rPr>
      </w:pPr>
      <w:r w:rsidRPr="00B40537">
        <w:rPr>
          <w:rFonts w:asciiTheme="majorHAnsi" w:eastAsia="Calibri" w:hAnsiTheme="majorHAnsi" w:cstheme="majorHAnsi"/>
          <w:b/>
          <w:bCs/>
          <w:color w:val="5F497A" w:themeColor="accent4" w:themeShade="BF"/>
          <w:sz w:val="28"/>
          <w:szCs w:val="28"/>
        </w:rPr>
        <w:t>RESPONSIVE</w:t>
      </w:r>
    </w:p>
    <w:p w14:paraId="15D3AC8B" w14:textId="77777777" w:rsidR="00F8134D" w:rsidRPr="00B40537" w:rsidRDefault="00F8134D" w:rsidP="00F8134D">
      <w:pPr>
        <w:numPr>
          <w:ilvl w:val="0"/>
          <w:numId w:val="18"/>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Improve equity of access</w:t>
      </w:r>
      <w:r w:rsidRPr="00B40537">
        <w:rPr>
          <w:rFonts w:asciiTheme="majorHAnsi" w:eastAsia="Times New Roman" w:hAnsiTheme="majorHAnsi" w:cstheme="majorHAnsi"/>
          <w:sz w:val="24"/>
          <w:szCs w:val="24"/>
          <w:lang w:val="en-GB" w:eastAsia="en-GB"/>
        </w:rPr>
        <w:t xml:space="preserve"> through better data capture and targeted community engagement.</w:t>
      </w:r>
    </w:p>
    <w:p w14:paraId="748EFECD" w14:textId="77777777" w:rsidR="00F8134D" w:rsidRPr="00B40537" w:rsidRDefault="00F8134D" w:rsidP="00F8134D">
      <w:pPr>
        <w:numPr>
          <w:ilvl w:val="0"/>
          <w:numId w:val="18"/>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Expand patient-facing volunteer roles</w:t>
      </w:r>
      <w:r w:rsidRPr="00B40537">
        <w:rPr>
          <w:rFonts w:asciiTheme="majorHAnsi" w:eastAsia="Times New Roman" w:hAnsiTheme="majorHAnsi" w:cstheme="majorHAnsi"/>
          <w:sz w:val="24"/>
          <w:szCs w:val="24"/>
          <w:lang w:val="en-GB" w:eastAsia="en-GB"/>
        </w:rPr>
        <w:t xml:space="preserve"> and improve volunteer training.</w:t>
      </w:r>
    </w:p>
    <w:p w14:paraId="2CD1E20E" w14:textId="77777777" w:rsidR="00F8134D" w:rsidRPr="00B40537" w:rsidRDefault="00F8134D" w:rsidP="00F8134D">
      <w:pPr>
        <w:numPr>
          <w:ilvl w:val="0"/>
          <w:numId w:val="18"/>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Deepen partnerships</w:t>
      </w:r>
      <w:r w:rsidRPr="00B40537">
        <w:rPr>
          <w:rFonts w:asciiTheme="majorHAnsi" w:eastAsia="Times New Roman" w:hAnsiTheme="majorHAnsi" w:cstheme="majorHAnsi"/>
          <w:sz w:val="24"/>
          <w:szCs w:val="24"/>
          <w:lang w:val="en-GB" w:eastAsia="en-GB"/>
        </w:rPr>
        <w:t xml:space="preserve"> with GPs, district nurses, and hospital discharge teams.</w:t>
      </w:r>
    </w:p>
    <w:p w14:paraId="0AD9F600" w14:textId="77777777" w:rsidR="00F8134D" w:rsidRPr="00B40537" w:rsidRDefault="00F8134D" w:rsidP="00916657">
      <w:pPr>
        <w:spacing w:after="0" w:line="259" w:lineRule="auto"/>
        <w:rPr>
          <w:rFonts w:asciiTheme="majorHAnsi" w:eastAsia="Calibri" w:hAnsiTheme="majorHAnsi" w:cstheme="majorHAnsi"/>
          <w:b/>
          <w:bCs/>
          <w:color w:val="5F497A" w:themeColor="accent4" w:themeShade="BF"/>
          <w:sz w:val="28"/>
          <w:szCs w:val="28"/>
        </w:rPr>
      </w:pPr>
      <w:r w:rsidRPr="00B40537">
        <w:rPr>
          <w:rFonts w:asciiTheme="majorHAnsi" w:eastAsia="Calibri" w:hAnsiTheme="majorHAnsi" w:cstheme="majorHAnsi"/>
          <w:b/>
          <w:bCs/>
          <w:color w:val="5F497A" w:themeColor="accent4" w:themeShade="BF"/>
          <w:sz w:val="28"/>
          <w:szCs w:val="28"/>
        </w:rPr>
        <w:t>WELL-LED</w:t>
      </w:r>
    </w:p>
    <w:p w14:paraId="66BF1957" w14:textId="77777777" w:rsidR="00F8134D" w:rsidRPr="00B40537" w:rsidRDefault="00F8134D" w:rsidP="00F8134D">
      <w:pPr>
        <w:numPr>
          <w:ilvl w:val="0"/>
          <w:numId w:val="19"/>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Deliver a workforce sustainability plan</w:t>
      </w:r>
      <w:r w:rsidRPr="00B40537">
        <w:rPr>
          <w:rFonts w:asciiTheme="majorHAnsi" w:eastAsia="Times New Roman" w:hAnsiTheme="majorHAnsi" w:cstheme="majorHAnsi"/>
          <w:sz w:val="24"/>
          <w:szCs w:val="24"/>
          <w:lang w:val="en-GB" w:eastAsia="en-GB"/>
        </w:rPr>
        <w:t xml:space="preserve"> addressing ageing workforce and recruitment gaps.</w:t>
      </w:r>
    </w:p>
    <w:p w14:paraId="4C3C196A" w14:textId="77777777" w:rsidR="00F8134D" w:rsidRPr="00B40537" w:rsidRDefault="00F8134D" w:rsidP="00F8134D">
      <w:pPr>
        <w:numPr>
          <w:ilvl w:val="0"/>
          <w:numId w:val="19"/>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Complete digital and cyber improvements</w:t>
      </w:r>
      <w:r w:rsidRPr="00B40537">
        <w:rPr>
          <w:rFonts w:asciiTheme="majorHAnsi" w:eastAsia="Times New Roman" w:hAnsiTheme="majorHAnsi" w:cstheme="majorHAnsi"/>
          <w:sz w:val="24"/>
          <w:szCs w:val="24"/>
          <w:lang w:val="en-GB" w:eastAsia="en-GB"/>
        </w:rPr>
        <w:t xml:space="preserve"> across clinical and corporate systems.</w:t>
      </w:r>
    </w:p>
    <w:p w14:paraId="38A7C62F" w14:textId="77777777" w:rsidR="00F8134D" w:rsidRPr="00B40537" w:rsidRDefault="00F8134D" w:rsidP="00F8134D">
      <w:pPr>
        <w:numPr>
          <w:ilvl w:val="0"/>
          <w:numId w:val="19"/>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Strengthen governance and QI loops</w:t>
      </w:r>
      <w:r w:rsidRPr="00B40537">
        <w:rPr>
          <w:rFonts w:asciiTheme="majorHAnsi" w:eastAsia="Times New Roman" w:hAnsiTheme="majorHAnsi" w:cstheme="majorHAnsi"/>
          <w:sz w:val="24"/>
          <w:szCs w:val="24"/>
          <w:lang w:val="en-GB" w:eastAsia="en-GB"/>
        </w:rPr>
        <w:t xml:space="preserve"> from incidents, audits, and complaints.</w:t>
      </w:r>
    </w:p>
    <w:p w14:paraId="176AC847" w14:textId="77777777" w:rsidR="00E87D50" w:rsidRPr="00B40537" w:rsidRDefault="00F8134D" w:rsidP="00F8134D">
      <w:pPr>
        <w:numPr>
          <w:ilvl w:val="0"/>
          <w:numId w:val="19"/>
        </w:numPr>
        <w:suppressAutoHyphens w:val="0"/>
        <w:spacing w:before="100" w:beforeAutospacing="1" w:after="100" w:afterAutospacing="1" w:line="240" w:lineRule="auto"/>
        <w:rPr>
          <w:rFonts w:asciiTheme="majorHAnsi" w:eastAsia="Times New Roman" w:hAnsiTheme="majorHAnsi" w:cstheme="majorHAnsi"/>
          <w:sz w:val="24"/>
          <w:szCs w:val="24"/>
          <w:lang w:val="en-GB" w:eastAsia="en-GB"/>
        </w:rPr>
      </w:pPr>
      <w:r w:rsidRPr="00B40537">
        <w:rPr>
          <w:rFonts w:asciiTheme="majorHAnsi" w:eastAsia="Times New Roman" w:hAnsiTheme="majorHAnsi" w:cstheme="majorHAnsi"/>
          <w:b/>
          <w:bCs/>
          <w:sz w:val="24"/>
          <w:szCs w:val="24"/>
          <w:lang w:val="en-GB" w:eastAsia="en-GB"/>
        </w:rPr>
        <w:t>Grow sustainable income</w:t>
      </w:r>
      <w:r w:rsidRPr="00B40537">
        <w:rPr>
          <w:rFonts w:asciiTheme="majorHAnsi" w:eastAsia="Times New Roman" w:hAnsiTheme="majorHAnsi" w:cstheme="majorHAnsi"/>
          <w:sz w:val="24"/>
          <w:szCs w:val="24"/>
          <w:lang w:val="en-GB" w:eastAsia="en-GB"/>
        </w:rPr>
        <w:t xml:space="preserve"> via regular giving, retail optimisation, and corporate partnerships.</w:t>
      </w:r>
    </w:p>
    <w:p w14:paraId="7B2B9720" w14:textId="77777777" w:rsidR="00793817" w:rsidRDefault="00793817">
      <w:pPr>
        <w:pStyle w:val="ListBullet"/>
        <w:numPr>
          <w:ilvl w:val="0"/>
          <w:numId w:val="0"/>
        </w:numPr>
        <w:rPr>
          <w:rFonts w:asciiTheme="majorHAnsi" w:eastAsia="Calibri" w:hAnsiTheme="majorHAnsi" w:cstheme="majorHAnsi"/>
          <w:b/>
          <w:bCs/>
          <w:color w:val="5F497A" w:themeColor="accent4" w:themeShade="BF"/>
          <w:sz w:val="28"/>
          <w:szCs w:val="28"/>
          <w:u w:val="single"/>
        </w:rPr>
      </w:pPr>
    </w:p>
    <w:p w14:paraId="7DBF1758" w14:textId="77777777" w:rsidR="00793817" w:rsidRDefault="00793817">
      <w:pPr>
        <w:pStyle w:val="ListBullet"/>
        <w:numPr>
          <w:ilvl w:val="0"/>
          <w:numId w:val="0"/>
        </w:numPr>
        <w:rPr>
          <w:rFonts w:asciiTheme="majorHAnsi" w:eastAsia="Calibri" w:hAnsiTheme="majorHAnsi" w:cstheme="majorHAnsi"/>
          <w:b/>
          <w:bCs/>
          <w:color w:val="5F497A" w:themeColor="accent4" w:themeShade="BF"/>
          <w:sz w:val="28"/>
          <w:szCs w:val="28"/>
          <w:u w:val="single"/>
        </w:rPr>
      </w:pPr>
    </w:p>
    <w:p w14:paraId="33611373" w14:textId="77777777" w:rsidR="00793817" w:rsidRDefault="00793817">
      <w:pPr>
        <w:pStyle w:val="ListBullet"/>
        <w:numPr>
          <w:ilvl w:val="0"/>
          <w:numId w:val="0"/>
        </w:numPr>
        <w:rPr>
          <w:rFonts w:asciiTheme="majorHAnsi" w:eastAsia="Calibri" w:hAnsiTheme="majorHAnsi" w:cstheme="majorHAnsi"/>
          <w:b/>
          <w:bCs/>
          <w:color w:val="5F497A" w:themeColor="accent4" w:themeShade="BF"/>
          <w:sz w:val="28"/>
          <w:szCs w:val="28"/>
          <w:u w:val="single"/>
        </w:rPr>
      </w:pPr>
    </w:p>
    <w:p w14:paraId="3DCC995E" w14:textId="77777777" w:rsidR="00F011F9" w:rsidRDefault="00F011F9">
      <w:pPr>
        <w:pStyle w:val="ListBullet"/>
        <w:numPr>
          <w:ilvl w:val="0"/>
          <w:numId w:val="0"/>
        </w:numPr>
        <w:rPr>
          <w:rFonts w:asciiTheme="majorHAnsi" w:eastAsia="Calibri" w:hAnsiTheme="majorHAnsi" w:cstheme="majorHAnsi"/>
          <w:b/>
          <w:bCs/>
          <w:color w:val="5F497A" w:themeColor="accent4" w:themeShade="BF"/>
          <w:sz w:val="28"/>
          <w:szCs w:val="28"/>
          <w:u w:val="single"/>
        </w:rPr>
      </w:pPr>
    </w:p>
    <w:p w14:paraId="61CF9FEC" w14:textId="4B19F4AE" w:rsidR="00F8134D" w:rsidRPr="00B40537" w:rsidRDefault="00793817">
      <w:pPr>
        <w:pStyle w:val="ListBullet"/>
        <w:numPr>
          <w:ilvl w:val="0"/>
          <w:numId w:val="0"/>
        </w:numPr>
        <w:rPr>
          <w:rFonts w:asciiTheme="majorHAnsi" w:hAnsiTheme="majorHAnsi" w:cstheme="majorHAnsi"/>
          <w:b/>
          <w:bCs/>
          <w:sz w:val="28"/>
          <w:szCs w:val="28"/>
          <w:u w:val="single"/>
        </w:rPr>
      </w:pPr>
      <w:r w:rsidRPr="00B40537">
        <w:rPr>
          <w:rFonts w:asciiTheme="majorHAnsi" w:hAnsiTheme="majorHAnsi" w:cstheme="majorHAnsi"/>
          <w:b/>
          <w:bCs/>
          <w:noProof/>
          <w:sz w:val="28"/>
          <w:szCs w:val="28"/>
          <w:u w:val="single"/>
          <w:lang w:val="en-GB" w:eastAsia="en-GB"/>
        </w:rPr>
        <w:lastRenderedPageBreak/>
        <w:drawing>
          <wp:anchor distT="0" distB="0" distL="0" distR="0" simplePos="0" relativeHeight="33" behindDoc="0" locked="0" layoutInCell="0" allowOverlap="1" wp14:anchorId="534D1B32" wp14:editId="448912F4">
            <wp:simplePos x="0" y="0"/>
            <wp:positionH relativeFrom="margin">
              <wp:align>left</wp:align>
            </wp:positionH>
            <wp:positionV relativeFrom="paragraph">
              <wp:posOffset>245937</wp:posOffset>
            </wp:positionV>
            <wp:extent cx="5451895" cy="499745"/>
            <wp:effectExtent l="0" t="0" r="0" b="0"/>
            <wp:wrapNone/>
            <wp:docPr id="51" name="Image17" descr="Purple letter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7" descr="Purple letters on a black background&#10;&#10;AI-generated content may be incorrect."/>
                    <pic:cNvPicPr>
                      <a:picLocks noChangeAspect="1" noChangeArrowheads="1"/>
                    </pic:cNvPicPr>
                  </pic:nvPicPr>
                  <pic:blipFill>
                    <a:blip r:embed="rId8"/>
                    <a:stretch>
                      <a:fillRect/>
                    </a:stretch>
                  </pic:blipFill>
                  <pic:spPr bwMode="auto">
                    <a:xfrm>
                      <a:off x="0" y="0"/>
                      <a:ext cx="5451895" cy="499745"/>
                    </a:xfrm>
                    <a:prstGeom prst="rect">
                      <a:avLst/>
                    </a:prstGeom>
                  </pic:spPr>
                </pic:pic>
              </a:graphicData>
            </a:graphic>
            <wp14:sizeRelH relativeFrom="margin">
              <wp14:pctWidth>0</wp14:pctWidth>
            </wp14:sizeRelH>
            <wp14:sizeRelV relativeFrom="margin">
              <wp14:pctHeight>0</wp14:pctHeight>
            </wp14:sizeRelV>
          </wp:anchor>
        </w:drawing>
      </w:r>
    </w:p>
    <w:p w14:paraId="7536FA7F" w14:textId="3730A264" w:rsidR="00E87D50" w:rsidRPr="00B40537" w:rsidRDefault="00E87D50">
      <w:pPr>
        <w:pStyle w:val="ListBullet"/>
        <w:numPr>
          <w:ilvl w:val="0"/>
          <w:numId w:val="0"/>
        </w:numPr>
        <w:rPr>
          <w:rFonts w:asciiTheme="majorHAnsi" w:hAnsiTheme="majorHAnsi" w:cstheme="majorHAnsi"/>
          <w:b/>
          <w:bCs/>
          <w:sz w:val="28"/>
          <w:szCs w:val="28"/>
          <w:u w:val="single"/>
        </w:rPr>
      </w:pPr>
    </w:p>
    <w:p w14:paraId="5934CB34" w14:textId="3AD0F14E" w:rsidR="00E87D50" w:rsidRPr="00B40537" w:rsidRDefault="00E87D50">
      <w:pPr>
        <w:pStyle w:val="ListBullet"/>
        <w:numPr>
          <w:ilvl w:val="0"/>
          <w:numId w:val="0"/>
        </w:numPr>
        <w:rPr>
          <w:rFonts w:asciiTheme="majorHAnsi" w:hAnsiTheme="majorHAnsi" w:cstheme="majorHAnsi"/>
          <w:b/>
          <w:bCs/>
          <w:sz w:val="28"/>
          <w:szCs w:val="28"/>
          <w:u w:val="single"/>
        </w:rPr>
      </w:pPr>
    </w:p>
    <w:p w14:paraId="52EB66B6" w14:textId="77777777" w:rsidR="00F011F9" w:rsidRDefault="00F011F9">
      <w:pPr>
        <w:pStyle w:val="ListBullet"/>
        <w:numPr>
          <w:ilvl w:val="0"/>
          <w:numId w:val="0"/>
        </w:numPr>
        <w:rPr>
          <w:rFonts w:asciiTheme="majorHAnsi" w:hAnsiTheme="majorHAnsi" w:cstheme="majorHAnsi"/>
          <w:b/>
          <w:bCs/>
          <w:sz w:val="28"/>
          <w:szCs w:val="28"/>
          <w:u w:val="single"/>
        </w:rPr>
      </w:pPr>
    </w:p>
    <w:p w14:paraId="5964677A" w14:textId="2D8B4539" w:rsidR="00F8134D" w:rsidRPr="00B40537" w:rsidRDefault="00793817">
      <w:pPr>
        <w:pStyle w:val="ListBullet"/>
        <w:numPr>
          <w:ilvl w:val="0"/>
          <w:numId w:val="0"/>
        </w:numPr>
        <w:rPr>
          <w:rFonts w:asciiTheme="majorHAnsi" w:hAnsiTheme="majorHAnsi" w:cstheme="majorHAnsi"/>
          <w:b/>
          <w:bCs/>
          <w:sz w:val="28"/>
          <w:szCs w:val="28"/>
          <w:u w:val="single"/>
        </w:rPr>
      </w:pPr>
      <w:r w:rsidRPr="00B40537">
        <w:rPr>
          <w:rFonts w:asciiTheme="majorHAnsi" w:hAnsiTheme="majorHAnsi" w:cstheme="majorHAnsi"/>
          <w:noProof/>
          <w:lang w:val="en-GB" w:eastAsia="en-GB"/>
        </w:rPr>
        <w:drawing>
          <wp:anchor distT="0" distB="0" distL="114300" distR="114300" simplePos="0" relativeHeight="251702272" behindDoc="0" locked="0" layoutInCell="1" allowOverlap="1" wp14:anchorId="2D2E9CD9" wp14:editId="38367B0C">
            <wp:simplePos x="0" y="0"/>
            <wp:positionH relativeFrom="margin">
              <wp:posOffset>7620</wp:posOffset>
            </wp:positionH>
            <wp:positionV relativeFrom="paragraph">
              <wp:posOffset>297180</wp:posOffset>
            </wp:positionV>
            <wp:extent cx="5661660" cy="4168140"/>
            <wp:effectExtent l="0" t="0" r="0" b="3810"/>
            <wp:wrapTopAndBottom/>
            <wp:docPr id="52"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8"/>
                    <pic:cNvPicPr>
                      <a:picLocks noChangeAspect="1" noChangeArrowheads="1"/>
                    </pic:cNvPicPr>
                  </pic:nvPicPr>
                  <pic:blipFill>
                    <a:blip r:embed="rId71" cstate="print">
                      <a:extLst>
                        <a:ext uri="{28A0092B-C50C-407E-A947-70E740481C1C}">
                          <a14:useLocalDpi xmlns:a14="http://schemas.microsoft.com/office/drawing/2010/main" val="0"/>
                        </a:ext>
                      </a:extLst>
                    </a:blip>
                    <a:srcRect t="30609"/>
                    <a:stretch>
                      <a:fillRect/>
                    </a:stretch>
                  </pic:blipFill>
                  <pic:spPr bwMode="auto">
                    <a:xfrm>
                      <a:off x="0" y="0"/>
                      <a:ext cx="5661660" cy="4168140"/>
                    </a:xfrm>
                    <a:prstGeom prst="rect">
                      <a:avLst/>
                    </a:prstGeom>
                  </pic:spPr>
                </pic:pic>
              </a:graphicData>
            </a:graphic>
            <wp14:sizeRelH relativeFrom="margin">
              <wp14:pctWidth>0</wp14:pctWidth>
            </wp14:sizeRelH>
            <wp14:sizeRelV relativeFrom="margin">
              <wp14:pctHeight>0</wp14:pctHeight>
            </wp14:sizeRelV>
          </wp:anchor>
        </w:drawing>
      </w:r>
    </w:p>
    <w:p w14:paraId="7BE28823" w14:textId="77777777" w:rsidR="007B0B52" w:rsidRPr="00B40537" w:rsidRDefault="007B0B52">
      <w:pPr>
        <w:pStyle w:val="ListBullet"/>
        <w:numPr>
          <w:ilvl w:val="0"/>
          <w:numId w:val="0"/>
        </w:numPr>
        <w:rPr>
          <w:rFonts w:asciiTheme="majorHAnsi" w:hAnsiTheme="majorHAnsi" w:cstheme="majorHAnsi"/>
          <w:b/>
          <w:bCs/>
          <w:sz w:val="24"/>
          <w:szCs w:val="24"/>
        </w:rPr>
      </w:pPr>
    </w:p>
    <w:p w14:paraId="3C8D983B" w14:textId="77777777" w:rsidR="007B0B52" w:rsidRPr="00B40537" w:rsidRDefault="007B0B52">
      <w:pPr>
        <w:pStyle w:val="ListBullet"/>
        <w:numPr>
          <w:ilvl w:val="0"/>
          <w:numId w:val="0"/>
        </w:numPr>
        <w:rPr>
          <w:rFonts w:asciiTheme="majorHAnsi" w:hAnsiTheme="majorHAnsi" w:cstheme="majorHAnsi"/>
          <w:b/>
          <w:bCs/>
          <w:sz w:val="24"/>
          <w:szCs w:val="24"/>
        </w:rPr>
      </w:pPr>
    </w:p>
    <w:p w14:paraId="1F15F078" w14:textId="77777777" w:rsidR="00E87D50" w:rsidRPr="00B40537"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Bury Hospice</w:t>
      </w:r>
    </w:p>
    <w:p w14:paraId="27B6E7B0" w14:textId="77777777" w:rsidR="00E87D50" w:rsidRPr="00B40537"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Rochdale Old Road</w:t>
      </w:r>
    </w:p>
    <w:p w14:paraId="2EE31857" w14:textId="77777777" w:rsidR="00E87D50" w:rsidRPr="00B40537"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Bury</w:t>
      </w:r>
    </w:p>
    <w:p w14:paraId="59298D6F" w14:textId="77777777" w:rsidR="00E87D50" w:rsidRPr="00B40537"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BL9 7RG</w:t>
      </w:r>
    </w:p>
    <w:p w14:paraId="12C5AFDD" w14:textId="77777777" w:rsidR="00E85E30"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 xml:space="preserve">Tel: 0161 725 9800                            </w:t>
      </w:r>
    </w:p>
    <w:p w14:paraId="2A23AE46" w14:textId="66457C7D" w:rsidR="00E87D50" w:rsidRPr="00B40537"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Email: info@buryhospice.org.uk</w:t>
      </w:r>
    </w:p>
    <w:p w14:paraId="1B32259E" w14:textId="43582E91" w:rsidR="00E85E30" w:rsidRPr="00E85E30" w:rsidRDefault="00B603D6">
      <w:pPr>
        <w:pStyle w:val="ListBullet"/>
        <w:numPr>
          <w:ilvl w:val="0"/>
          <w:numId w:val="0"/>
        </w:numPr>
        <w:rPr>
          <w:rFonts w:asciiTheme="majorHAnsi" w:hAnsiTheme="majorHAnsi" w:cstheme="majorHAnsi"/>
          <w:b/>
          <w:bCs/>
          <w:sz w:val="24"/>
          <w:szCs w:val="24"/>
        </w:rPr>
      </w:pPr>
      <w:r w:rsidRPr="00B40537">
        <w:rPr>
          <w:rFonts w:asciiTheme="majorHAnsi" w:hAnsiTheme="majorHAnsi" w:cstheme="majorHAnsi"/>
          <w:b/>
          <w:bCs/>
          <w:sz w:val="24"/>
          <w:szCs w:val="24"/>
        </w:rPr>
        <w:t xml:space="preserve">Registered Charity 1136843      </w:t>
      </w:r>
    </w:p>
    <w:p w14:paraId="23A5BEE9" w14:textId="77777777" w:rsidR="00E87D50" w:rsidRPr="00B40537" w:rsidRDefault="00B603D6">
      <w:pPr>
        <w:pStyle w:val="ListBullet"/>
        <w:numPr>
          <w:ilvl w:val="0"/>
          <w:numId w:val="0"/>
        </w:numPr>
        <w:rPr>
          <w:rFonts w:asciiTheme="majorHAnsi" w:hAnsiTheme="majorHAnsi" w:cstheme="majorHAnsi"/>
          <w:sz w:val="28"/>
          <w:szCs w:val="28"/>
        </w:rPr>
      </w:pPr>
      <w:r w:rsidRPr="00B40537">
        <w:rPr>
          <w:rFonts w:asciiTheme="majorHAnsi" w:hAnsiTheme="majorHAnsi" w:cstheme="majorHAnsi"/>
          <w:noProof/>
          <w:lang w:val="en-GB" w:eastAsia="en-GB"/>
        </w:rPr>
        <w:drawing>
          <wp:inline distT="0" distB="0" distL="0" distR="0" wp14:anchorId="0B9D6BEF" wp14:editId="314260AE">
            <wp:extent cx="1535430" cy="539115"/>
            <wp:effectExtent l="0" t="0" r="0" b="0"/>
            <wp:docPr id="53" name="Image19"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9" descr="A close up of a logo&#10;&#10;AI-generated content may be incorrect."/>
                    <pic:cNvPicPr>
                      <a:picLocks noChangeAspect="1" noChangeArrowheads="1"/>
                    </pic:cNvPicPr>
                  </pic:nvPicPr>
                  <pic:blipFill>
                    <a:blip r:embed="rId72"/>
                    <a:stretch>
                      <a:fillRect/>
                    </a:stretch>
                  </pic:blipFill>
                  <pic:spPr bwMode="auto">
                    <a:xfrm>
                      <a:off x="0" y="0"/>
                      <a:ext cx="1535430" cy="539115"/>
                    </a:xfrm>
                    <a:prstGeom prst="rect">
                      <a:avLst/>
                    </a:prstGeom>
                  </pic:spPr>
                </pic:pic>
              </a:graphicData>
            </a:graphic>
          </wp:inline>
        </w:drawing>
      </w:r>
      <w:r w:rsidRPr="00B40537">
        <w:rPr>
          <w:rFonts w:asciiTheme="majorHAnsi" w:hAnsiTheme="majorHAnsi" w:cstheme="majorHAnsi"/>
          <w:sz w:val="28"/>
          <w:szCs w:val="28"/>
        </w:rPr>
        <w:t xml:space="preserve">       </w:t>
      </w:r>
      <w:r w:rsidRPr="00B40537">
        <w:rPr>
          <w:rFonts w:asciiTheme="majorHAnsi" w:hAnsiTheme="majorHAnsi" w:cstheme="majorHAnsi"/>
          <w:sz w:val="28"/>
          <w:szCs w:val="28"/>
        </w:rPr>
        <w:tab/>
      </w:r>
      <w:r w:rsidRPr="00B40537">
        <w:rPr>
          <w:rFonts w:asciiTheme="majorHAnsi" w:hAnsiTheme="majorHAnsi" w:cstheme="majorHAnsi"/>
          <w:sz w:val="28"/>
          <w:szCs w:val="28"/>
        </w:rPr>
        <w:tab/>
      </w:r>
      <w:r w:rsidRPr="00B40537">
        <w:rPr>
          <w:rFonts w:asciiTheme="majorHAnsi" w:hAnsiTheme="majorHAnsi" w:cstheme="majorHAnsi"/>
          <w:sz w:val="28"/>
          <w:szCs w:val="28"/>
        </w:rPr>
        <w:tab/>
      </w:r>
      <w:r w:rsidRPr="00B40537">
        <w:rPr>
          <w:rFonts w:asciiTheme="majorHAnsi" w:hAnsiTheme="majorHAnsi" w:cstheme="majorHAnsi"/>
          <w:sz w:val="28"/>
          <w:szCs w:val="28"/>
        </w:rPr>
        <w:tab/>
      </w:r>
      <w:r w:rsidRPr="00B40537">
        <w:rPr>
          <w:rFonts w:asciiTheme="majorHAnsi" w:hAnsiTheme="majorHAnsi" w:cstheme="majorHAnsi"/>
          <w:sz w:val="28"/>
          <w:szCs w:val="28"/>
        </w:rPr>
        <w:tab/>
        <w:t xml:space="preserve"> </w:t>
      </w:r>
    </w:p>
    <w:sectPr w:rsidR="00E87D50" w:rsidRPr="00B40537" w:rsidSect="00B40537">
      <w:type w:val="continuous"/>
      <w:pgSz w:w="12240" w:h="15840"/>
      <w:pgMar w:top="1440" w:right="1080" w:bottom="1440" w:left="1080" w:header="0" w:footer="0" w:gutter="0"/>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D22A0B" w14:textId="77777777" w:rsidR="00793817" w:rsidRDefault="00793817" w:rsidP="00AC29EF">
      <w:pPr>
        <w:spacing w:after="0" w:line="240" w:lineRule="auto"/>
      </w:pPr>
      <w:r>
        <w:separator/>
      </w:r>
    </w:p>
  </w:endnote>
  <w:endnote w:type="continuationSeparator" w:id="0">
    <w:p w14:paraId="458F120F" w14:textId="77777777" w:rsidR="00793817" w:rsidRDefault="00793817" w:rsidP="00AC2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1"/>
    <w:family w:val="swiss"/>
    <w:pitch w:val="variable"/>
  </w:font>
  <w:font w:name="PingFang SC">
    <w:panose1 w:val="00000000000000000000"/>
    <w:charset w:val="00"/>
    <w:family w:val="roman"/>
    <w:notTrueType/>
    <w:pitch w:val="default"/>
  </w:font>
  <w:font w:name="Arial Unicode MS">
    <w:altName w:val="Arial"/>
    <w:panose1 w:val="020B0604020202020204"/>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3028627"/>
      <w:docPartObj>
        <w:docPartGallery w:val="Page Numbers (Bottom of Page)"/>
        <w:docPartUnique/>
      </w:docPartObj>
    </w:sdtPr>
    <w:sdtEndPr>
      <w:rPr>
        <w:rFonts w:asciiTheme="majorHAnsi" w:hAnsiTheme="majorHAnsi" w:cstheme="majorHAnsi"/>
        <w:noProof/>
      </w:rPr>
    </w:sdtEndPr>
    <w:sdtContent>
      <w:p w14:paraId="5947FB49" w14:textId="00DDECEB" w:rsidR="00793817" w:rsidRPr="00AC29EF" w:rsidRDefault="00793817" w:rsidP="00AC29EF">
        <w:pPr>
          <w:pStyle w:val="Footer"/>
          <w:jc w:val="right"/>
          <w:rPr>
            <w:rFonts w:asciiTheme="majorHAnsi" w:hAnsiTheme="majorHAnsi" w:cstheme="majorHAnsi"/>
          </w:rPr>
        </w:pPr>
        <w:r w:rsidRPr="00AC29EF">
          <w:rPr>
            <w:rFonts w:asciiTheme="majorHAnsi" w:hAnsiTheme="majorHAnsi" w:cstheme="majorHAnsi"/>
          </w:rPr>
          <w:fldChar w:fldCharType="begin"/>
        </w:r>
        <w:r w:rsidRPr="00AC29EF">
          <w:rPr>
            <w:rFonts w:asciiTheme="majorHAnsi" w:hAnsiTheme="majorHAnsi" w:cstheme="majorHAnsi"/>
          </w:rPr>
          <w:instrText xml:space="preserve"> PAGE   \* MERGEFORMAT </w:instrText>
        </w:r>
        <w:r w:rsidRPr="00AC29EF">
          <w:rPr>
            <w:rFonts w:asciiTheme="majorHAnsi" w:hAnsiTheme="majorHAnsi" w:cstheme="majorHAnsi"/>
          </w:rPr>
          <w:fldChar w:fldCharType="separate"/>
        </w:r>
        <w:r w:rsidR="00570D5D">
          <w:rPr>
            <w:rFonts w:asciiTheme="majorHAnsi" w:hAnsiTheme="majorHAnsi" w:cstheme="majorHAnsi"/>
            <w:noProof/>
          </w:rPr>
          <w:t>30</w:t>
        </w:r>
        <w:r w:rsidRPr="00AC29EF">
          <w:rPr>
            <w:rFonts w:asciiTheme="majorHAnsi" w:hAnsiTheme="majorHAnsi" w:cstheme="majorHAnsi"/>
            <w:noProof/>
          </w:rPr>
          <w:fldChar w:fldCharType="end"/>
        </w:r>
      </w:p>
    </w:sdtContent>
  </w:sdt>
  <w:p w14:paraId="39800A5E" w14:textId="77777777" w:rsidR="00793817" w:rsidRDefault="007938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BBEC8" w14:textId="77777777" w:rsidR="00793817" w:rsidRDefault="00793817" w:rsidP="00AC29EF">
      <w:pPr>
        <w:spacing w:after="0" w:line="240" w:lineRule="auto"/>
      </w:pPr>
      <w:r>
        <w:separator/>
      </w:r>
    </w:p>
  </w:footnote>
  <w:footnote w:type="continuationSeparator" w:id="0">
    <w:p w14:paraId="4391EA2E" w14:textId="77777777" w:rsidR="00793817" w:rsidRDefault="00793817" w:rsidP="00AC29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484B25"/>
    <w:multiLevelType w:val="hybridMultilevel"/>
    <w:tmpl w:val="3D8EF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9F20B6"/>
    <w:multiLevelType w:val="multilevel"/>
    <w:tmpl w:val="2B7C9C80"/>
    <w:lvl w:ilvl="0">
      <w:start w:val="1"/>
      <w:numFmt w:val="bullet"/>
      <w:lvlText w:val=""/>
      <w:lvlJc w:val="left"/>
      <w:pPr>
        <w:tabs>
          <w:tab w:val="num" w:pos="360"/>
        </w:tabs>
        <w:ind w:left="720" w:hanging="360"/>
      </w:pPr>
      <w:rPr>
        <w:rFonts w:ascii="Symbol" w:hAnsi="Symbol" w:cs="Symbol" w:hint="default"/>
      </w:rPr>
    </w:lvl>
    <w:lvl w:ilvl="1">
      <w:start w:val="1"/>
      <w:numFmt w:val="bullet"/>
      <w:lvlText w:val="o"/>
      <w:lvlJc w:val="left"/>
      <w:pPr>
        <w:tabs>
          <w:tab w:val="num" w:pos="360"/>
        </w:tabs>
        <w:ind w:left="1440" w:hanging="360"/>
      </w:pPr>
      <w:rPr>
        <w:rFonts w:ascii="Courier New" w:hAnsi="Courier New" w:cs="Courier New" w:hint="default"/>
      </w:rPr>
    </w:lvl>
    <w:lvl w:ilvl="2">
      <w:start w:val="1"/>
      <w:numFmt w:val="bullet"/>
      <w:lvlText w:val=""/>
      <w:lvlJc w:val="left"/>
      <w:pPr>
        <w:tabs>
          <w:tab w:val="num" w:pos="360"/>
        </w:tabs>
        <w:ind w:left="2160" w:hanging="360"/>
      </w:pPr>
      <w:rPr>
        <w:rFonts w:ascii="Wingdings" w:hAnsi="Wingdings" w:cs="Wingdings" w:hint="default"/>
      </w:rPr>
    </w:lvl>
    <w:lvl w:ilvl="3">
      <w:start w:val="1"/>
      <w:numFmt w:val="bullet"/>
      <w:lvlText w:val=""/>
      <w:lvlJc w:val="left"/>
      <w:pPr>
        <w:tabs>
          <w:tab w:val="num" w:pos="360"/>
        </w:tabs>
        <w:ind w:left="2880" w:hanging="360"/>
      </w:pPr>
      <w:rPr>
        <w:rFonts w:ascii="Symbol" w:hAnsi="Symbol" w:cs="Symbol" w:hint="default"/>
      </w:rPr>
    </w:lvl>
    <w:lvl w:ilvl="4">
      <w:start w:val="1"/>
      <w:numFmt w:val="bullet"/>
      <w:lvlText w:val="o"/>
      <w:lvlJc w:val="left"/>
      <w:pPr>
        <w:tabs>
          <w:tab w:val="num" w:pos="360"/>
        </w:tabs>
        <w:ind w:left="3600" w:hanging="360"/>
      </w:pPr>
      <w:rPr>
        <w:rFonts w:ascii="Courier New" w:hAnsi="Courier New" w:cs="Courier New" w:hint="default"/>
      </w:rPr>
    </w:lvl>
    <w:lvl w:ilvl="5">
      <w:start w:val="1"/>
      <w:numFmt w:val="bullet"/>
      <w:lvlText w:val=""/>
      <w:lvlJc w:val="left"/>
      <w:pPr>
        <w:tabs>
          <w:tab w:val="num" w:pos="360"/>
        </w:tabs>
        <w:ind w:left="4320" w:hanging="360"/>
      </w:pPr>
      <w:rPr>
        <w:rFonts w:ascii="Wingdings" w:hAnsi="Wingdings" w:cs="Wingdings" w:hint="default"/>
      </w:rPr>
    </w:lvl>
    <w:lvl w:ilvl="6">
      <w:start w:val="1"/>
      <w:numFmt w:val="bullet"/>
      <w:lvlText w:val=""/>
      <w:lvlJc w:val="left"/>
      <w:pPr>
        <w:tabs>
          <w:tab w:val="num" w:pos="360"/>
        </w:tabs>
        <w:ind w:left="5040" w:hanging="360"/>
      </w:pPr>
      <w:rPr>
        <w:rFonts w:ascii="Symbol" w:hAnsi="Symbol" w:cs="Symbol" w:hint="default"/>
      </w:rPr>
    </w:lvl>
    <w:lvl w:ilvl="7">
      <w:start w:val="1"/>
      <w:numFmt w:val="bullet"/>
      <w:lvlText w:val="o"/>
      <w:lvlJc w:val="left"/>
      <w:pPr>
        <w:tabs>
          <w:tab w:val="num" w:pos="360"/>
        </w:tabs>
        <w:ind w:left="5760" w:hanging="360"/>
      </w:pPr>
      <w:rPr>
        <w:rFonts w:ascii="Courier New" w:hAnsi="Courier New" w:cs="Courier New" w:hint="default"/>
      </w:rPr>
    </w:lvl>
    <w:lvl w:ilvl="8">
      <w:start w:val="1"/>
      <w:numFmt w:val="bullet"/>
      <w:lvlText w:val=""/>
      <w:lvlJc w:val="left"/>
      <w:pPr>
        <w:tabs>
          <w:tab w:val="num" w:pos="360"/>
        </w:tabs>
        <w:ind w:left="6480" w:hanging="360"/>
      </w:pPr>
      <w:rPr>
        <w:rFonts w:ascii="Wingdings" w:hAnsi="Wingdings" w:cs="Wingdings" w:hint="default"/>
      </w:rPr>
    </w:lvl>
  </w:abstractNum>
  <w:abstractNum w:abstractNumId="2" w15:restartNumberingAfterBreak="0">
    <w:nsid w:val="1B536BDD"/>
    <w:multiLevelType w:val="hybridMultilevel"/>
    <w:tmpl w:val="B6CADC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BA668CC"/>
    <w:multiLevelType w:val="multilevel"/>
    <w:tmpl w:val="495C9B06"/>
    <w:lvl w:ilvl="0">
      <w:start w:val="1"/>
      <w:numFmt w:val="bullet"/>
      <w:pStyle w:val="ListBullet3"/>
      <w:lvlText w:val=""/>
      <w:lvlJc w:val="left"/>
      <w:pPr>
        <w:tabs>
          <w:tab w:val="num" w:pos="1080"/>
        </w:tabs>
        <w:ind w:left="108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1DA57E49"/>
    <w:multiLevelType w:val="multilevel"/>
    <w:tmpl w:val="107E15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0406719"/>
    <w:multiLevelType w:val="multilevel"/>
    <w:tmpl w:val="0B1C720A"/>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6" w15:restartNumberingAfterBreak="0">
    <w:nsid w:val="214749D4"/>
    <w:multiLevelType w:val="multilevel"/>
    <w:tmpl w:val="0A5EFFDC"/>
    <w:lvl w:ilvl="0">
      <w:start w:val="1"/>
      <w:numFmt w:val="bullet"/>
      <w:pStyle w:val="ListBullet2"/>
      <w:lvlText w:val=""/>
      <w:lvlJc w:val="left"/>
      <w:pPr>
        <w:tabs>
          <w:tab w:val="num" w:pos="720"/>
        </w:tabs>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2A6E7055"/>
    <w:multiLevelType w:val="hybridMultilevel"/>
    <w:tmpl w:val="7C043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F4065F"/>
    <w:multiLevelType w:val="multilevel"/>
    <w:tmpl w:val="3C72405A"/>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9" w15:restartNumberingAfterBreak="0">
    <w:nsid w:val="2FDD657D"/>
    <w:multiLevelType w:val="hybridMultilevel"/>
    <w:tmpl w:val="52EA5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7314AE"/>
    <w:multiLevelType w:val="multilevel"/>
    <w:tmpl w:val="331618CC"/>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1" w15:restartNumberingAfterBreak="0">
    <w:nsid w:val="3ABC0C37"/>
    <w:multiLevelType w:val="hybridMultilevel"/>
    <w:tmpl w:val="716CA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B8C1898"/>
    <w:multiLevelType w:val="multilevel"/>
    <w:tmpl w:val="68609CEA"/>
    <w:lvl w:ilvl="0">
      <w:start w:val="1"/>
      <w:numFmt w:val="bullet"/>
      <w:pStyle w:val="List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3" w15:restartNumberingAfterBreak="0">
    <w:nsid w:val="3CE61341"/>
    <w:multiLevelType w:val="hybridMultilevel"/>
    <w:tmpl w:val="CD4A4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E435F8D"/>
    <w:multiLevelType w:val="multilevel"/>
    <w:tmpl w:val="F58A5FA2"/>
    <w:lvl w:ilvl="0">
      <w:start w:val="1"/>
      <w:numFmt w:val="bullet"/>
      <w:lvlText w:val=""/>
      <w:lvlJc w:val="left"/>
      <w:pPr>
        <w:tabs>
          <w:tab w:val="num" w:pos="360"/>
        </w:tabs>
        <w:ind w:left="720" w:hanging="360"/>
      </w:pPr>
      <w:rPr>
        <w:rFonts w:ascii="Symbol" w:hAnsi="Symbol" w:cs="Symbol" w:hint="default"/>
      </w:rPr>
    </w:lvl>
    <w:lvl w:ilvl="1">
      <w:start w:val="1"/>
      <w:numFmt w:val="bullet"/>
      <w:lvlText w:val="o"/>
      <w:lvlJc w:val="left"/>
      <w:pPr>
        <w:tabs>
          <w:tab w:val="num" w:pos="360"/>
        </w:tabs>
        <w:ind w:left="1440" w:hanging="360"/>
      </w:pPr>
      <w:rPr>
        <w:rFonts w:ascii="Courier New" w:hAnsi="Courier New" w:cs="Courier New" w:hint="default"/>
      </w:rPr>
    </w:lvl>
    <w:lvl w:ilvl="2">
      <w:start w:val="1"/>
      <w:numFmt w:val="bullet"/>
      <w:lvlText w:val=""/>
      <w:lvlJc w:val="left"/>
      <w:pPr>
        <w:tabs>
          <w:tab w:val="num" w:pos="360"/>
        </w:tabs>
        <w:ind w:left="2160" w:hanging="360"/>
      </w:pPr>
      <w:rPr>
        <w:rFonts w:ascii="Wingdings" w:hAnsi="Wingdings" w:cs="Wingdings" w:hint="default"/>
      </w:rPr>
    </w:lvl>
    <w:lvl w:ilvl="3">
      <w:start w:val="1"/>
      <w:numFmt w:val="bullet"/>
      <w:lvlText w:val=""/>
      <w:lvlJc w:val="left"/>
      <w:pPr>
        <w:tabs>
          <w:tab w:val="num" w:pos="360"/>
        </w:tabs>
        <w:ind w:left="2880" w:hanging="360"/>
      </w:pPr>
      <w:rPr>
        <w:rFonts w:ascii="Symbol" w:hAnsi="Symbol" w:cs="Symbol" w:hint="default"/>
      </w:rPr>
    </w:lvl>
    <w:lvl w:ilvl="4">
      <w:start w:val="1"/>
      <w:numFmt w:val="bullet"/>
      <w:lvlText w:val="o"/>
      <w:lvlJc w:val="left"/>
      <w:pPr>
        <w:tabs>
          <w:tab w:val="num" w:pos="360"/>
        </w:tabs>
        <w:ind w:left="3600" w:hanging="360"/>
      </w:pPr>
      <w:rPr>
        <w:rFonts w:ascii="Courier New" w:hAnsi="Courier New" w:cs="Courier New" w:hint="default"/>
      </w:rPr>
    </w:lvl>
    <w:lvl w:ilvl="5">
      <w:start w:val="1"/>
      <w:numFmt w:val="bullet"/>
      <w:lvlText w:val=""/>
      <w:lvlJc w:val="left"/>
      <w:pPr>
        <w:tabs>
          <w:tab w:val="num" w:pos="360"/>
        </w:tabs>
        <w:ind w:left="4320" w:hanging="360"/>
      </w:pPr>
      <w:rPr>
        <w:rFonts w:ascii="Wingdings" w:hAnsi="Wingdings" w:cs="Wingdings" w:hint="default"/>
      </w:rPr>
    </w:lvl>
    <w:lvl w:ilvl="6">
      <w:start w:val="1"/>
      <w:numFmt w:val="bullet"/>
      <w:lvlText w:val=""/>
      <w:lvlJc w:val="left"/>
      <w:pPr>
        <w:tabs>
          <w:tab w:val="num" w:pos="360"/>
        </w:tabs>
        <w:ind w:left="5040" w:hanging="360"/>
      </w:pPr>
      <w:rPr>
        <w:rFonts w:ascii="Symbol" w:hAnsi="Symbol" w:cs="Symbol" w:hint="default"/>
      </w:rPr>
    </w:lvl>
    <w:lvl w:ilvl="7">
      <w:start w:val="1"/>
      <w:numFmt w:val="bullet"/>
      <w:lvlText w:val="o"/>
      <w:lvlJc w:val="left"/>
      <w:pPr>
        <w:tabs>
          <w:tab w:val="num" w:pos="360"/>
        </w:tabs>
        <w:ind w:left="5760" w:hanging="360"/>
      </w:pPr>
      <w:rPr>
        <w:rFonts w:ascii="Courier New" w:hAnsi="Courier New" w:cs="Courier New" w:hint="default"/>
      </w:rPr>
    </w:lvl>
    <w:lvl w:ilvl="8">
      <w:start w:val="1"/>
      <w:numFmt w:val="bullet"/>
      <w:lvlText w:val=""/>
      <w:lvlJc w:val="left"/>
      <w:pPr>
        <w:tabs>
          <w:tab w:val="num" w:pos="360"/>
        </w:tabs>
        <w:ind w:left="6480" w:hanging="360"/>
      </w:pPr>
      <w:rPr>
        <w:rFonts w:ascii="Wingdings" w:hAnsi="Wingdings" w:cs="Wingdings" w:hint="default"/>
      </w:rPr>
    </w:lvl>
  </w:abstractNum>
  <w:abstractNum w:abstractNumId="15" w15:restartNumberingAfterBreak="0">
    <w:nsid w:val="3E6A3B7E"/>
    <w:multiLevelType w:val="multilevel"/>
    <w:tmpl w:val="11DC8368"/>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7E1662"/>
    <w:multiLevelType w:val="multilevel"/>
    <w:tmpl w:val="B7A6D00E"/>
    <w:lvl w:ilvl="0">
      <w:start w:val="1"/>
      <w:numFmt w:val="bullet"/>
      <w:lvlText w:val=""/>
      <w:lvlJc w:val="left"/>
      <w:pPr>
        <w:tabs>
          <w:tab w:val="num" w:pos="0"/>
        </w:tabs>
        <w:ind w:left="360" w:hanging="360"/>
      </w:pPr>
      <w:rPr>
        <w:rFonts w:ascii="Symbol" w:hAnsi="Symbol" w:cs="Symbol"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Wingdings" w:hAnsi="Wingdings" w:cs="Wingdings" w:hint="default"/>
      </w:rPr>
    </w:lvl>
    <w:lvl w:ilvl="3">
      <w:start w:val="1"/>
      <w:numFmt w:val="bullet"/>
      <w:lvlText w:val=""/>
      <w:lvlJc w:val="left"/>
      <w:pPr>
        <w:tabs>
          <w:tab w:val="num" w:pos="0"/>
        </w:tabs>
        <w:ind w:left="2520" w:hanging="360"/>
      </w:pPr>
      <w:rPr>
        <w:rFonts w:ascii="Symbol" w:hAnsi="Symbol" w:cs="Symbol"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Wingdings" w:hAnsi="Wingdings" w:cs="Wingdings" w:hint="default"/>
      </w:rPr>
    </w:lvl>
    <w:lvl w:ilvl="6">
      <w:start w:val="1"/>
      <w:numFmt w:val="bullet"/>
      <w:lvlText w:val=""/>
      <w:lvlJc w:val="left"/>
      <w:pPr>
        <w:tabs>
          <w:tab w:val="num" w:pos="0"/>
        </w:tabs>
        <w:ind w:left="4680" w:hanging="360"/>
      </w:pPr>
      <w:rPr>
        <w:rFonts w:ascii="Symbol" w:hAnsi="Symbol" w:cs="Symbol"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Wingdings" w:hAnsi="Wingdings" w:cs="Wingdings" w:hint="default"/>
      </w:rPr>
    </w:lvl>
  </w:abstractNum>
  <w:abstractNum w:abstractNumId="17" w15:restartNumberingAfterBreak="0">
    <w:nsid w:val="47F12AF8"/>
    <w:multiLevelType w:val="hybridMultilevel"/>
    <w:tmpl w:val="ED80C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BD7424E"/>
    <w:multiLevelType w:val="multilevel"/>
    <w:tmpl w:val="EE2211E4"/>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EF544D5"/>
    <w:multiLevelType w:val="multilevel"/>
    <w:tmpl w:val="CBF038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6A0035A"/>
    <w:multiLevelType w:val="hybridMultilevel"/>
    <w:tmpl w:val="93640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2A655EA"/>
    <w:multiLevelType w:val="multilevel"/>
    <w:tmpl w:val="5240B9E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2" w15:restartNumberingAfterBreak="0">
    <w:nsid w:val="69A36E0D"/>
    <w:multiLevelType w:val="multilevel"/>
    <w:tmpl w:val="67BE6BF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F1F4967"/>
    <w:multiLevelType w:val="multilevel"/>
    <w:tmpl w:val="6E32F4E8"/>
    <w:lvl w:ilvl="0">
      <w:start w:val="1"/>
      <w:numFmt w:val="decimal"/>
      <w:pStyle w:val="ListNumber"/>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7C023DAC"/>
    <w:multiLevelType w:val="multilevel"/>
    <w:tmpl w:val="53101E3E"/>
    <w:lvl w:ilvl="0">
      <w:start w:val="1"/>
      <w:numFmt w:val="decimal"/>
      <w:pStyle w:val="ListNumber3"/>
      <w:lvlText w:val="%1."/>
      <w:lvlJc w:val="left"/>
      <w:pPr>
        <w:tabs>
          <w:tab w:val="num" w:pos="1080"/>
        </w:tabs>
        <w:ind w:left="108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5" w15:restartNumberingAfterBreak="0">
    <w:nsid w:val="7DA61D72"/>
    <w:multiLevelType w:val="multilevel"/>
    <w:tmpl w:val="C21E8800"/>
    <w:lvl w:ilvl="0">
      <w:start w:val="1"/>
      <w:numFmt w:val="decimal"/>
      <w:pStyle w:val="ListNumber2"/>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15:restartNumberingAfterBreak="0">
    <w:nsid w:val="7E7700A4"/>
    <w:multiLevelType w:val="hybridMultilevel"/>
    <w:tmpl w:val="A33011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3"/>
  </w:num>
  <w:num w:numId="4">
    <w:abstractNumId w:val="23"/>
  </w:num>
  <w:num w:numId="5">
    <w:abstractNumId w:val="25"/>
  </w:num>
  <w:num w:numId="6">
    <w:abstractNumId w:val="24"/>
  </w:num>
  <w:num w:numId="7">
    <w:abstractNumId w:val="14"/>
  </w:num>
  <w:num w:numId="8">
    <w:abstractNumId w:val="8"/>
  </w:num>
  <w:num w:numId="9">
    <w:abstractNumId w:val="1"/>
  </w:num>
  <w:num w:numId="10">
    <w:abstractNumId w:val="16"/>
  </w:num>
  <w:num w:numId="11">
    <w:abstractNumId w:val="5"/>
  </w:num>
  <w:num w:numId="12">
    <w:abstractNumId w:val="10"/>
  </w:num>
  <w:num w:numId="13">
    <w:abstractNumId w:val="21"/>
  </w:num>
  <w:num w:numId="14">
    <w:abstractNumId w:val="7"/>
  </w:num>
  <w:num w:numId="15">
    <w:abstractNumId w:val="4"/>
  </w:num>
  <w:num w:numId="16">
    <w:abstractNumId w:val="19"/>
  </w:num>
  <w:num w:numId="17">
    <w:abstractNumId w:val="22"/>
  </w:num>
  <w:num w:numId="18">
    <w:abstractNumId w:val="15"/>
  </w:num>
  <w:num w:numId="19">
    <w:abstractNumId w:val="18"/>
  </w:num>
  <w:num w:numId="20">
    <w:abstractNumId w:val="17"/>
  </w:num>
  <w:num w:numId="21">
    <w:abstractNumId w:val="13"/>
  </w:num>
  <w:num w:numId="22">
    <w:abstractNumId w:val="0"/>
  </w:num>
  <w:num w:numId="23">
    <w:abstractNumId w:val="11"/>
  </w:num>
  <w:num w:numId="24">
    <w:abstractNumId w:val="26"/>
  </w:num>
  <w:num w:numId="25">
    <w:abstractNumId w:val="9"/>
  </w:num>
  <w:num w:numId="26">
    <w:abstractNumId w:val="20"/>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ailMerge>
    <w:mainDocumentType w:val="formLetters"/>
    <w:dataType w:val="textFile"/>
    <w:query w:val="SELECT * FROM Addresses.dbo.donorflex data$"/>
  </w:mailMerge>
  <w:defaultTabStop w:val="720"/>
  <w:autoHyphenation/>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7D50"/>
    <w:rsid w:val="000755A5"/>
    <w:rsid w:val="0008128B"/>
    <w:rsid w:val="00084DF4"/>
    <w:rsid w:val="00097C4D"/>
    <w:rsid w:val="000B3F7C"/>
    <w:rsid w:val="000C32F7"/>
    <w:rsid w:val="001270EF"/>
    <w:rsid w:val="001A3C40"/>
    <w:rsid w:val="001B114C"/>
    <w:rsid w:val="001F7487"/>
    <w:rsid w:val="00202CCF"/>
    <w:rsid w:val="002031F8"/>
    <w:rsid w:val="002D5A1F"/>
    <w:rsid w:val="003325CA"/>
    <w:rsid w:val="003B653B"/>
    <w:rsid w:val="003F6DC9"/>
    <w:rsid w:val="00422222"/>
    <w:rsid w:val="00454016"/>
    <w:rsid w:val="004754A1"/>
    <w:rsid w:val="004C5677"/>
    <w:rsid w:val="004F03A5"/>
    <w:rsid w:val="00512EAE"/>
    <w:rsid w:val="00570D5D"/>
    <w:rsid w:val="00596E16"/>
    <w:rsid w:val="005A7EEC"/>
    <w:rsid w:val="005B4920"/>
    <w:rsid w:val="005E13F1"/>
    <w:rsid w:val="005E7A83"/>
    <w:rsid w:val="006118A8"/>
    <w:rsid w:val="006D51DA"/>
    <w:rsid w:val="00735199"/>
    <w:rsid w:val="00793817"/>
    <w:rsid w:val="007B0B52"/>
    <w:rsid w:val="007B38CD"/>
    <w:rsid w:val="00816CEF"/>
    <w:rsid w:val="008506EE"/>
    <w:rsid w:val="008C6D5C"/>
    <w:rsid w:val="00916657"/>
    <w:rsid w:val="00A5336E"/>
    <w:rsid w:val="00A61261"/>
    <w:rsid w:val="00AC29EF"/>
    <w:rsid w:val="00AD747A"/>
    <w:rsid w:val="00AE495A"/>
    <w:rsid w:val="00B15F00"/>
    <w:rsid w:val="00B3741F"/>
    <w:rsid w:val="00B37EA3"/>
    <w:rsid w:val="00B40537"/>
    <w:rsid w:val="00B603D6"/>
    <w:rsid w:val="00BA17BC"/>
    <w:rsid w:val="00C15D53"/>
    <w:rsid w:val="00C1666F"/>
    <w:rsid w:val="00C24537"/>
    <w:rsid w:val="00C34300"/>
    <w:rsid w:val="00CA090B"/>
    <w:rsid w:val="00D01948"/>
    <w:rsid w:val="00D91B8D"/>
    <w:rsid w:val="00D93C1D"/>
    <w:rsid w:val="00DA1A6B"/>
    <w:rsid w:val="00DA1EBC"/>
    <w:rsid w:val="00E4699A"/>
    <w:rsid w:val="00E6442E"/>
    <w:rsid w:val="00E773A9"/>
    <w:rsid w:val="00E85E30"/>
    <w:rsid w:val="00E87D50"/>
    <w:rsid w:val="00EA46C9"/>
    <w:rsid w:val="00EA5EB0"/>
    <w:rsid w:val="00F011F9"/>
    <w:rsid w:val="00F14F5F"/>
    <w:rsid w:val="00F8134D"/>
    <w:rsid w:val="00FB10C9"/>
  </w:rsids>
  <m:mathPr>
    <m:mathFont m:val="Cambria Math"/>
    <m:brkBin m:val="before"/>
    <m:brkBinSub m:val="--"/>
    <m:smallFrac m:val="0"/>
    <m:dispDef/>
    <m:lMargin m:val="0"/>
    <m:rMargin m:val="0"/>
    <m:defJc m:val="centerGroup"/>
    <m:wrapIndent m:val="1440"/>
    <m:intLim m:val="subSup"/>
    <m:naryLim m:val="undOvr"/>
  </m:mathPr>
  <w:themeFontLang w:val="en-US" w:eastAsia="ja-JP" w:bid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FE79FC0"/>
  <w15:docId w15:val="{DF25B1D5-E8C5-4B24-B9FA-3061CB23D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53A10"/>
    <w:pPr>
      <w:spacing w:after="200" w:line="276" w:lineRule="auto"/>
    </w:p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E618BF"/>
  </w:style>
  <w:style w:type="character" w:customStyle="1" w:styleId="FooterChar">
    <w:name w:val="Footer Char"/>
    <w:basedOn w:val="DefaultParagraphFont"/>
    <w:link w:val="Footer"/>
    <w:uiPriority w:val="99"/>
    <w:qFormat/>
    <w:rsid w:val="00E618BF"/>
  </w:style>
  <w:style w:type="character" w:customStyle="1" w:styleId="Heading1Char">
    <w:name w:val="Heading 1 Char"/>
    <w:basedOn w:val="DefaultParagraphFont"/>
    <w:link w:val="Heading1"/>
    <w:uiPriority w:val="9"/>
    <w:qFormat/>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qFormat/>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qFormat/>
    <w:rsid w:val="00FC693F"/>
    <w:rPr>
      <w:rFonts w:asciiTheme="majorHAnsi" w:eastAsiaTheme="majorEastAsia" w:hAnsiTheme="majorHAnsi" w:cstheme="majorBidi"/>
      <w:b/>
      <w:bCs/>
      <w:color w:val="4F81BD" w:themeColor="accent1"/>
    </w:rPr>
  </w:style>
  <w:style w:type="character" w:customStyle="1" w:styleId="TitleChar">
    <w:name w:val="Title Char"/>
    <w:basedOn w:val="DefaultParagraphFont"/>
    <w:link w:val="Title"/>
    <w:uiPriority w:val="10"/>
    <w:qFormat/>
    <w:rsid w:val="00FC693F"/>
    <w:rPr>
      <w:rFonts w:asciiTheme="majorHAnsi" w:eastAsiaTheme="majorEastAsia" w:hAnsiTheme="majorHAnsi" w:cstheme="majorBidi"/>
      <w:color w:val="17365D" w:themeColor="text2" w:themeShade="BF"/>
      <w:spacing w:val="5"/>
      <w:kern w:val="2"/>
      <w:sz w:val="52"/>
      <w:szCs w:val="52"/>
    </w:rPr>
  </w:style>
  <w:style w:type="character" w:customStyle="1" w:styleId="SubtitleChar">
    <w:name w:val="Subtitle Char"/>
    <w:basedOn w:val="DefaultParagraphFont"/>
    <w:link w:val="Subtitle"/>
    <w:uiPriority w:val="11"/>
    <w:qFormat/>
    <w:rsid w:val="00FC693F"/>
    <w:rPr>
      <w:rFonts w:asciiTheme="majorHAnsi" w:eastAsiaTheme="majorEastAsia" w:hAnsiTheme="majorHAnsi" w:cstheme="majorBidi"/>
      <w:i/>
      <w:iCs/>
      <w:color w:val="4F81BD" w:themeColor="accent1"/>
      <w:spacing w:val="15"/>
      <w:sz w:val="24"/>
      <w:szCs w:val="24"/>
    </w:rPr>
  </w:style>
  <w:style w:type="character" w:customStyle="1" w:styleId="BodyTextChar">
    <w:name w:val="Body Text Char"/>
    <w:basedOn w:val="DefaultParagraphFont"/>
    <w:link w:val="BodyText"/>
    <w:uiPriority w:val="99"/>
    <w:qFormat/>
    <w:rsid w:val="00AA1D8D"/>
  </w:style>
  <w:style w:type="character" w:customStyle="1" w:styleId="BodyText2Char">
    <w:name w:val="Body Text 2 Char"/>
    <w:basedOn w:val="DefaultParagraphFont"/>
    <w:link w:val="BodyText2"/>
    <w:uiPriority w:val="99"/>
    <w:qFormat/>
    <w:rsid w:val="00AA1D8D"/>
  </w:style>
  <w:style w:type="character" w:customStyle="1" w:styleId="BodyText3Char">
    <w:name w:val="Body Text 3 Char"/>
    <w:basedOn w:val="DefaultParagraphFont"/>
    <w:link w:val="BodyText3"/>
    <w:uiPriority w:val="99"/>
    <w:qFormat/>
    <w:rsid w:val="00AA1D8D"/>
    <w:rPr>
      <w:sz w:val="16"/>
      <w:szCs w:val="16"/>
    </w:rPr>
  </w:style>
  <w:style w:type="character" w:customStyle="1" w:styleId="MacroTextChar">
    <w:name w:val="Macro Text Char"/>
    <w:basedOn w:val="DefaultParagraphFont"/>
    <w:link w:val="MacroText"/>
    <w:uiPriority w:val="99"/>
    <w:qFormat/>
    <w:rsid w:val="0029639D"/>
    <w:rPr>
      <w:rFonts w:ascii="Courier" w:hAnsi="Courier"/>
      <w:sz w:val="20"/>
      <w:szCs w:val="20"/>
    </w:rPr>
  </w:style>
  <w:style w:type="character" w:customStyle="1" w:styleId="QuoteChar">
    <w:name w:val="Quote Char"/>
    <w:basedOn w:val="DefaultParagraphFont"/>
    <w:link w:val="Quote"/>
    <w:uiPriority w:val="29"/>
    <w:qFormat/>
    <w:rsid w:val="00FC693F"/>
    <w:rPr>
      <w:i/>
      <w:iCs/>
      <w:color w:val="000000" w:themeColor="text1"/>
    </w:rPr>
  </w:style>
  <w:style w:type="character" w:customStyle="1" w:styleId="Heading4Char">
    <w:name w:val="Heading 4 Char"/>
    <w:basedOn w:val="DefaultParagraphFont"/>
    <w:link w:val="Heading4"/>
    <w:uiPriority w:val="9"/>
    <w:semiHidden/>
    <w:qFormat/>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qFormat/>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qFormat/>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qFormat/>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qFormat/>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qFormat/>
    <w:rsid w:val="00FC693F"/>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character" w:customStyle="1" w:styleId="IntenseQuoteChar">
    <w:name w:val="Intense Quote Char"/>
    <w:basedOn w:val="DefaultParagraphFont"/>
    <w:link w:val="IntenseQuote"/>
    <w:uiPriority w:val="30"/>
    <w:qFormat/>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character" w:styleId="Hyperlink">
    <w:name w:val="Hyperlink"/>
    <w:basedOn w:val="DefaultParagraphFont"/>
    <w:uiPriority w:val="99"/>
    <w:unhideWhenUsed/>
    <w:rsid w:val="000819F8"/>
    <w:rPr>
      <w:color w:val="0000FF" w:themeColor="hyperlink"/>
      <w:u w:val="single"/>
    </w:rPr>
  </w:style>
  <w:style w:type="character" w:customStyle="1" w:styleId="UnresolvedMention1">
    <w:name w:val="Unresolved Mention1"/>
    <w:basedOn w:val="DefaultParagraphFont"/>
    <w:uiPriority w:val="99"/>
    <w:semiHidden/>
    <w:unhideWhenUsed/>
    <w:qFormat/>
    <w:rsid w:val="000819F8"/>
    <w:rPr>
      <w:color w:val="605E5C"/>
      <w:shd w:val="clear" w:color="auto" w:fill="E1DFDD"/>
    </w:rPr>
  </w:style>
  <w:style w:type="character" w:styleId="CommentReference">
    <w:name w:val="annotation reference"/>
    <w:basedOn w:val="DefaultParagraphFont"/>
    <w:uiPriority w:val="99"/>
    <w:semiHidden/>
    <w:unhideWhenUsed/>
    <w:qFormat/>
    <w:rsid w:val="00E00DAA"/>
    <w:rPr>
      <w:sz w:val="16"/>
      <w:szCs w:val="16"/>
    </w:rPr>
  </w:style>
  <w:style w:type="character" w:customStyle="1" w:styleId="CommentTextChar">
    <w:name w:val="Comment Text Char"/>
    <w:basedOn w:val="DefaultParagraphFont"/>
    <w:link w:val="CommentText"/>
    <w:uiPriority w:val="99"/>
    <w:qFormat/>
    <w:rsid w:val="00E00DAA"/>
    <w:rPr>
      <w:sz w:val="20"/>
      <w:szCs w:val="20"/>
    </w:rPr>
  </w:style>
  <w:style w:type="character" w:customStyle="1" w:styleId="CommentSubjectChar">
    <w:name w:val="Comment Subject Char"/>
    <w:basedOn w:val="CommentTextChar"/>
    <w:link w:val="CommentSubject"/>
    <w:uiPriority w:val="99"/>
    <w:semiHidden/>
    <w:qFormat/>
    <w:rsid w:val="00E00DAA"/>
    <w:rPr>
      <w:b/>
      <w:bCs/>
      <w:sz w:val="20"/>
      <w:szCs w:val="20"/>
    </w:rPr>
  </w:style>
  <w:style w:type="character" w:customStyle="1" w:styleId="ms-1">
    <w:name w:val="ms-1"/>
    <w:basedOn w:val="DefaultParagraphFont"/>
    <w:qFormat/>
    <w:rsid w:val="00977960"/>
  </w:style>
  <w:style w:type="character" w:customStyle="1" w:styleId="max-w-full">
    <w:name w:val="max-w-full"/>
    <w:basedOn w:val="DefaultParagraphFont"/>
    <w:qFormat/>
    <w:rsid w:val="00977960"/>
  </w:style>
  <w:style w:type="character" w:customStyle="1" w:styleId="BalloonTextChar">
    <w:name w:val="Balloon Text Char"/>
    <w:basedOn w:val="DefaultParagraphFont"/>
    <w:link w:val="BalloonText"/>
    <w:uiPriority w:val="99"/>
    <w:semiHidden/>
    <w:qFormat/>
    <w:rsid w:val="000E7048"/>
    <w:rPr>
      <w:rFonts w:ascii="Segoe UI" w:hAnsi="Segoe UI" w:cs="Segoe UI"/>
      <w:sz w:val="18"/>
      <w:szCs w:val="18"/>
    </w:rPr>
  </w:style>
  <w:style w:type="character" w:customStyle="1" w:styleId="UnresolvedMention2">
    <w:name w:val="Unresolved Mention2"/>
    <w:basedOn w:val="DefaultParagraphFont"/>
    <w:uiPriority w:val="99"/>
    <w:semiHidden/>
    <w:unhideWhenUsed/>
    <w:qFormat/>
    <w:rsid w:val="008400B7"/>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link w:val="BodyTextChar"/>
    <w:uiPriority w:val="99"/>
    <w:unhideWhenUsed/>
    <w:rsid w:val="00AA1D8D"/>
    <w:pPr>
      <w:spacing w:after="120"/>
    </w:pPr>
  </w:style>
  <w:style w:type="paragraph" w:styleId="List">
    <w:name w:val="List"/>
    <w:basedOn w:val="Normal"/>
    <w:uiPriority w:val="99"/>
    <w:unhideWhenUsed/>
    <w:rsid w:val="00AA1D8D"/>
    <w:pPr>
      <w:ind w:left="360" w:hanging="360"/>
      <w:contextualSpacing/>
    </w:pPr>
  </w:style>
  <w:style w:type="paragraph" w:styleId="Caption">
    <w:name w:val="caption"/>
    <w:basedOn w:val="Normal"/>
    <w:next w:val="Normal"/>
    <w:uiPriority w:val="35"/>
    <w:unhideWhenUsed/>
    <w:qFormat/>
    <w:rsid w:val="00FC693F"/>
    <w:pPr>
      <w:spacing w:line="240" w:lineRule="auto"/>
    </w:pPr>
    <w:rPr>
      <w:b/>
      <w:bCs/>
      <w:color w:val="4F81BD" w:themeColor="accent1"/>
      <w:sz w:val="18"/>
      <w:szCs w:val="18"/>
    </w:rPr>
  </w:style>
  <w:style w:type="paragraph" w:customStyle="1" w:styleId="Index">
    <w:name w:val="Index"/>
    <w:basedOn w:val="Normal"/>
    <w:qFormat/>
    <w:pPr>
      <w:suppressLineNumbers/>
    </w:pPr>
    <w:rPr>
      <w:rFonts w:cs="Arial Unicode MS"/>
    </w:rPr>
  </w:style>
  <w:style w:type="paragraph" w:customStyle="1" w:styleId="HeaderandFooter">
    <w:name w:val="Header and Footer"/>
    <w:basedOn w:val="Normal"/>
    <w:qFormat/>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paragraph" w:styleId="NoSpacing">
    <w:name w:val="No Spacing"/>
    <w:uiPriority w:val="1"/>
    <w:qFormat/>
    <w:rsid w:val="00FC693F"/>
  </w:style>
  <w:style w:type="paragraph" w:styleId="Title">
    <w:name w:val="Title"/>
    <w:basedOn w:val="Normal"/>
    <w:next w:val="Normal"/>
    <w:link w:val="TitleChar"/>
    <w:uiPriority w:val="10"/>
    <w:qFormat/>
    <w:rsid w:val="00FC693F"/>
    <w:pPr>
      <w:pBdr>
        <w:bottom w:val="single" w:sz="8" w:space="4" w:color="4F81BD"/>
      </w:pBdr>
      <w:spacing w:after="300" w:line="240" w:lineRule="auto"/>
      <w:contextualSpacing/>
    </w:pPr>
    <w:rPr>
      <w:rFonts w:asciiTheme="majorHAnsi" w:eastAsiaTheme="majorEastAsia" w:hAnsiTheme="majorHAnsi" w:cstheme="majorBidi"/>
      <w:color w:val="17365D" w:themeColor="text2" w:themeShade="BF"/>
      <w:spacing w:val="5"/>
      <w:kern w:val="2"/>
      <w:sz w:val="52"/>
      <w:szCs w:val="52"/>
    </w:rPr>
  </w:style>
  <w:style w:type="paragraph" w:styleId="Subtitle">
    <w:name w:val="Subtitle"/>
    <w:basedOn w:val="Normal"/>
    <w:next w:val="Normal"/>
    <w:link w:val="SubtitleChar"/>
    <w:uiPriority w:val="11"/>
    <w:qFormat/>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2">
    <w:name w:val="Body Text 2"/>
    <w:basedOn w:val="Normal"/>
    <w:link w:val="BodyText2Char"/>
    <w:uiPriority w:val="99"/>
    <w:unhideWhenUsed/>
    <w:qFormat/>
    <w:rsid w:val="00AA1D8D"/>
    <w:pPr>
      <w:spacing w:after="120" w:line="480" w:lineRule="auto"/>
    </w:pPr>
  </w:style>
  <w:style w:type="paragraph" w:styleId="BodyText3">
    <w:name w:val="Body Text 3"/>
    <w:basedOn w:val="Normal"/>
    <w:link w:val="BodyText3Char"/>
    <w:uiPriority w:val="99"/>
    <w:unhideWhenUsed/>
    <w:qFormat/>
    <w:rsid w:val="00AA1D8D"/>
    <w:pPr>
      <w:spacing w:after="120"/>
    </w:pPr>
    <w:rPr>
      <w:sz w:val="16"/>
      <w:szCs w:val="16"/>
    </w:rPr>
  </w:style>
  <w:style w:type="paragraph" w:styleId="ListBullet3">
    <w:name w:val="List Bullet 3"/>
    <w:basedOn w:val="Normal"/>
    <w:uiPriority w:val="99"/>
    <w:unhideWhenUsed/>
    <w:qFormat/>
    <w:rsid w:val="00326F90"/>
    <w:pPr>
      <w:numPr>
        <w:numId w:val="3"/>
      </w:numPr>
      <w:contextualSpacing/>
    </w:pPr>
  </w:style>
  <w:style w:type="paragraph" w:styleId="ListBullet4">
    <w:name w:val="List Bullet 4"/>
    <w:basedOn w:val="Normal"/>
    <w:uiPriority w:val="99"/>
    <w:unhideWhenUsed/>
    <w:rsid w:val="00326F90"/>
    <w:pPr>
      <w:ind w:left="1080" w:hanging="360"/>
      <w:contextualSpacing/>
    </w:pPr>
  </w:style>
  <w:style w:type="paragraph" w:styleId="ListBullet">
    <w:name w:val="List Bullet"/>
    <w:basedOn w:val="Normal"/>
    <w:uiPriority w:val="99"/>
    <w:unhideWhenUsed/>
    <w:qFormat/>
    <w:rsid w:val="00326F90"/>
    <w:pPr>
      <w:numPr>
        <w:numId w:val="1"/>
      </w:numPr>
      <w:contextualSpacing/>
    </w:pPr>
  </w:style>
  <w:style w:type="paragraph" w:styleId="ListBullet2">
    <w:name w:val="List Bullet 2"/>
    <w:basedOn w:val="Normal"/>
    <w:uiPriority w:val="99"/>
    <w:unhideWhenUsed/>
    <w:qFormat/>
    <w:rsid w:val="00326F90"/>
    <w:pPr>
      <w:numPr>
        <w:numId w:val="2"/>
      </w:numPr>
      <w:contextualSpacing/>
    </w:pPr>
  </w:style>
  <w:style w:type="paragraph" w:styleId="ListNumber">
    <w:name w:val="List Number"/>
    <w:basedOn w:val="Normal"/>
    <w:uiPriority w:val="99"/>
    <w:unhideWhenUsed/>
    <w:qFormat/>
    <w:rsid w:val="00326F90"/>
    <w:pPr>
      <w:numPr>
        <w:numId w:val="4"/>
      </w:numPr>
      <w:contextualSpacing/>
    </w:pPr>
  </w:style>
  <w:style w:type="paragraph" w:styleId="ListNumber2">
    <w:name w:val="List Number 2"/>
    <w:basedOn w:val="Normal"/>
    <w:uiPriority w:val="99"/>
    <w:unhideWhenUsed/>
    <w:qFormat/>
    <w:rsid w:val="0029639D"/>
    <w:pPr>
      <w:numPr>
        <w:numId w:val="5"/>
      </w:numPr>
      <w:contextualSpacing/>
    </w:pPr>
  </w:style>
  <w:style w:type="paragraph" w:styleId="ListNumber3">
    <w:name w:val="List Number 3"/>
    <w:basedOn w:val="Normal"/>
    <w:uiPriority w:val="99"/>
    <w:unhideWhenUsed/>
    <w:qFormat/>
    <w:rsid w:val="0029639D"/>
    <w:pPr>
      <w:numPr>
        <w:numId w:val="6"/>
      </w:numPr>
      <w:contextualSpacing/>
    </w:pPr>
  </w:style>
  <w:style w:type="paragraph" w:styleId="ListContinue">
    <w:name w:val="List Continue"/>
    <w:basedOn w:val="Normal"/>
    <w:uiPriority w:val="99"/>
    <w:unhideWhenUsed/>
    <w:qFormat/>
    <w:rsid w:val="0029639D"/>
    <w:pPr>
      <w:spacing w:after="120"/>
      <w:ind w:left="360"/>
      <w:contextualSpacing/>
    </w:pPr>
  </w:style>
  <w:style w:type="paragraph" w:styleId="ListContinue2">
    <w:name w:val="List Continue 2"/>
    <w:basedOn w:val="Normal"/>
    <w:uiPriority w:val="99"/>
    <w:unhideWhenUsed/>
    <w:qFormat/>
    <w:rsid w:val="0029639D"/>
    <w:pPr>
      <w:spacing w:after="120"/>
      <w:ind w:left="720"/>
      <w:contextualSpacing/>
    </w:pPr>
  </w:style>
  <w:style w:type="paragraph" w:styleId="ListContinue3">
    <w:name w:val="List Continue 3"/>
    <w:basedOn w:val="Normal"/>
    <w:uiPriority w:val="99"/>
    <w:unhideWhenUsed/>
    <w:qFormat/>
    <w:rsid w:val="0029639D"/>
    <w:pPr>
      <w:spacing w:after="120"/>
      <w:ind w:left="1080"/>
      <w:contextualSpacing/>
    </w:pPr>
  </w:style>
  <w:style w:type="paragraph" w:styleId="MacroText">
    <w:name w:val="macro"/>
    <w:link w:val="MacroTextChar"/>
    <w:uiPriority w:val="99"/>
    <w:unhideWhenUsed/>
    <w:qFormat/>
    <w:rsid w:val="0029639D"/>
    <w:pPr>
      <w:tabs>
        <w:tab w:val="left" w:pos="576"/>
        <w:tab w:val="left" w:pos="1152"/>
        <w:tab w:val="left" w:pos="1728"/>
        <w:tab w:val="left" w:pos="2304"/>
        <w:tab w:val="left" w:pos="2880"/>
        <w:tab w:val="left" w:pos="3456"/>
        <w:tab w:val="left" w:pos="4032"/>
      </w:tabs>
      <w:spacing w:after="200" w:line="276" w:lineRule="auto"/>
    </w:pPr>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paragraph" w:styleId="IntenseQuote">
    <w:name w:val="Intense Quote"/>
    <w:basedOn w:val="Normal"/>
    <w:next w:val="Normal"/>
    <w:link w:val="IntenseQuoteChar"/>
    <w:uiPriority w:val="30"/>
    <w:qFormat/>
    <w:rsid w:val="00FC693F"/>
    <w:pPr>
      <w:pBdr>
        <w:bottom w:val="single" w:sz="4" w:space="4" w:color="4F81BD"/>
      </w:pBdr>
      <w:spacing w:before="200" w:after="280"/>
      <w:ind w:left="936" w:right="936"/>
    </w:pPr>
    <w:rPr>
      <w:b/>
      <w:bCs/>
      <w:i/>
      <w:iCs/>
      <w:color w:val="4F81BD" w:themeColor="accent1"/>
    </w:rPr>
  </w:style>
  <w:style w:type="paragraph" w:styleId="IndexHeading">
    <w:name w:val="index heading"/>
    <w:basedOn w:val="Heading"/>
  </w:style>
  <w:style w:type="paragraph" w:styleId="TOCHeading">
    <w:name w:val="TOC Heading"/>
    <w:basedOn w:val="Heading1"/>
    <w:next w:val="Normal"/>
    <w:uiPriority w:val="39"/>
    <w:unhideWhenUsed/>
    <w:qFormat/>
    <w:rsid w:val="00FC693F"/>
    <w:pPr>
      <w:outlineLvl w:val="9"/>
    </w:pPr>
  </w:style>
  <w:style w:type="paragraph" w:styleId="NormalWeb">
    <w:name w:val="Normal (Web)"/>
    <w:basedOn w:val="Normal"/>
    <w:uiPriority w:val="99"/>
    <w:unhideWhenUsed/>
    <w:qFormat/>
    <w:rsid w:val="00AA6D6D"/>
    <w:pPr>
      <w:spacing w:beforeAutospacing="1" w:afterAutospacing="1" w:line="240" w:lineRule="auto"/>
    </w:pPr>
    <w:rPr>
      <w:rFonts w:ascii="Times New Roman" w:eastAsia="Times New Roman" w:hAnsi="Times New Roman" w:cs="Times New Roman"/>
      <w:sz w:val="24"/>
      <w:szCs w:val="24"/>
      <w:lang w:val="en-GB" w:eastAsia="en-GB"/>
    </w:rPr>
  </w:style>
  <w:style w:type="paragraph" w:styleId="CommentText">
    <w:name w:val="annotation text"/>
    <w:basedOn w:val="Normal"/>
    <w:link w:val="CommentTextChar"/>
    <w:uiPriority w:val="99"/>
    <w:unhideWhenUsed/>
    <w:qFormat/>
    <w:rsid w:val="00E00DAA"/>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E00DAA"/>
    <w:rPr>
      <w:b/>
      <w:bCs/>
    </w:rPr>
  </w:style>
  <w:style w:type="paragraph" w:styleId="BalloonText">
    <w:name w:val="Balloon Text"/>
    <w:basedOn w:val="Normal"/>
    <w:link w:val="BalloonTextChar"/>
    <w:uiPriority w:val="99"/>
    <w:semiHidden/>
    <w:unhideWhenUsed/>
    <w:qFormat/>
    <w:rsid w:val="000E7048"/>
    <w:pPr>
      <w:spacing w:after="0" w:line="240" w:lineRule="auto"/>
    </w:pPr>
    <w:rPr>
      <w:rFonts w:ascii="Segoe UI" w:hAnsi="Segoe UI" w:cs="Segoe UI"/>
      <w:sz w:val="18"/>
      <w:szCs w:val="18"/>
    </w:rPr>
  </w:style>
  <w:style w:type="paragraph" w:customStyle="1" w:styleId="FrameContents">
    <w:name w:val="Frame Contents"/>
    <w:basedOn w:val="Normal"/>
    <w:qFormat/>
  </w:style>
  <w:style w:type="table" w:styleId="TableGrid">
    <w:name w:val="Table Grid"/>
    <w:basedOn w:val="TableNormal"/>
    <w:uiPriority w:val="59"/>
    <w:rsid w:val="00FC69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cBorders>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000000" w:themeColor="text1"/>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4F81BD" w:themeColor="accent1"/>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0504D" w:themeColor="accent2"/>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9BBB59" w:themeColor="accent3"/>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8064A2" w:themeColor="accent4"/>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4BACC6" w:themeColor="accent5"/>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79646" w:themeColor="accent6"/>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4F81BD" w:themeColor="accent1"/>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C0504D" w:themeColor="accent2"/>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9BBB59" w:themeColor="accent3"/>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8064A2" w:themeColor="accent4"/>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4BACC6" w:themeColor="accent5"/>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F79646" w:themeColor="accent6"/>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TableGrid0">
    <w:name w:val="TableGrid"/>
    <w:rsid w:val="007D13CF"/>
    <w:rPr>
      <w:sz w:val="24"/>
      <w:szCs w:val="24"/>
      <w:lang w:val="en-GB" w:eastAsia="en-GB"/>
    </w:rPr>
    <w:tblPr>
      <w:tblCellMar>
        <w:top w:w="0" w:type="dxa"/>
        <w:left w:w="0" w:type="dxa"/>
        <w:bottom w:w="0" w:type="dxa"/>
        <w:right w:w="0" w:type="dxa"/>
      </w:tblCellMar>
    </w:tblPr>
  </w:style>
  <w:style w:type="table" w:styleId="PlainTable1">
    <w:name w:val="Plain Table 1"/>
    <w:basedOn w:val="TableNormal"/>
    <w:uiPriority w:val="99"/>
    <w:rsid w:val="005F4BE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1">
    <w:name w:val="toc 1"/>
    <w:basedOn w:val="Normal"/>
    <w:next w:val="Normal"/>
    <w:autoRedefine/>
    <w:uiPriority w:val="39"/>
    <w:unhideWhenUsed/>
    <w:rsid w:val="00916657"/>
    <w:pPr>
      <w:spacing w:after="100"/>
    </w:pPr>
  </w:style>
  <w:style w:type="paragraph" w:styleId="TOC2">
    <w:name w:val="toc 2"/>
    <w:basedOn w:val="Normal"/>
    <w:next w:val="Normal"/>
    <w:autoRedefine/>
    <w:uiPriority w:val="39"/>
    <w:unhideWhenUsed/>
    <w:rsid w:val="00916657"/>
    <w:pPr>
      <w:spacing w:after="100"/>
      <w:ind w:left="220"/>
    </w:pPr>
  </w:style>
  <w:style w:type="paragraph" w:customStyle="1" w:styleId="Level1">
    <w:name w:val="Level 1"/>
    <w:basedOn w:val="Heading1"/>
    <w:link w:val="Level1Char"/>
    <w:qFormat/>
    <w:rsid w:val="00AD747A"/>
    <w:pPr>
      <w:spacing w:before="120" w:after="120"/>
      <w:jc w:val="both"/>
    </w:pPr>
    <w:rPr>
      <w:rFonts w:cstheme="majorHAnsi"/>
      <w:bCs w:val="0"/>
      <w:color w:val="5F497A" w:themeColor="accent4" w:themeShade="BF"/>
    </w:rPr>
  </w:style>
  <w:style w:type="paragraph" w:customStyle="1" w:styleId="MainLevel">
    <w:name w:val="Main Level"/>
    <w:basedOn w:val="Level1"/>
    <w:link w:val="MainLevelChar"/>
    <w:qFormat/>
    <w:rsid w:val="00AD747A"/>
    <w:rPr>
      <w:u w:val="single"/>
    </w:rPr>
  </w:style>
  <w:style w:type="character" w:customStyle="1" w:styleId="Level1Char">
    <w:name w:val="Level 1 Char"/>
    <w:basedOn w:val="DefaultParagraphFont"/>
    <w:link w:val="Level1"/>
    <w:rsid w:val="00AD747A"/>
    <w:rPr>
      <w:rFonts w:asciiTheme="majorHAnsi" w:eastAsiaTheme="majorEastAsia" w:hAnsiTheme="majorHAnsi" w:cstheme="majorHAnsi"/>
      <w:b/>
      <w:color w:val="5F497A" w:themeColor="accent4" w:themeShade="BF"/>
      <w:sz w:val="28"/>
      <w:szCs w:val="28"/>
    </w:rPr>
  </w:style>
  <w:style w:type="character" w:customStyle="1" w:styleId="MainLevelChar">
    <w:name w:val="Main Level Char"/>
    <w:basedOn w:val="Level1Char"/>
    <w:link w:val="MainLevel"/>
    <w:rsid w:val="00AD747A"/>
    <w:rPr>
      <w:rFonts w:asciiTheme="majorHAnsi" w:eastAsiaTheme="majorEastAsia" w:hAnsiTheme="majorHAnsi" w:cstheme="majorHAnsi"/>
      <w:b/>
      <w:color w:val="5F497A" w:themeColor="accent4" w:themeShade="BF"/>
      <w:sz w:val="28"/>
      <w:szCs w:val="2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63890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3.png"/><Relationship Id="rId39" Type="http://schemas.openxmlformats.org/officeDocument/2006/relationships/image" Target="media/image21.png"/><Relationship Id="rId21" Type="http://schemas.openxmlformats.org/officeDocument/2006/relationships/chart" Target="charts/chart2.xml"/><Relationship Id="rId34" Type="http://schemas.openxmlformats.org/officeDocument/2006/relationships/chart" Target="charts/chart3.xml"/><Relationship Id="rId42" Type="http://schemas.openxmlformats.org/officeDocument/2006/relationships/image" Target="media/image24.png"/><Relationship Id="rId47" Type="http://schemas.openxmlformats.org/officeDocument/2006/relationships/image" Target="media/image29.jpeg"/><Relationship Id="rId50" Type="http://schemas.openxmlformats.org/officeDocument/2006/relationships/chart" Target="charts/chart8.xml"/><Relationship Id="rId55" Type="http://schemas.openxmlformats.org/officeDocument/2006/relationships/chart" Target="charts/chart10.xml"/><Relationship Id="rId63" Type="http://schemas.openxmlformats.org/officeDocument/2006/relationships/oleObject" Target="embeddings/oleObject3.bin"/><Relationship Id="rId68" Type="http://schemas.openxmlformats.org/officeDocument/2006/relationships/oleObject" Target="embeddings/oleObject5.bin"/><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chart" Target="charts/chart6.xml"/><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image" Target="media/image33.png"/><Relationship Id="rId58" Type="http://schemas.openxmlformats.org/officeDocument/2006/relationships/chart" Target="charts/chart12.xml"/><Relationship Id="rId66" Type="http://schemas.openxmlformats.org/officeDocument/2006/relationships/oleObject" Target="embeddings/oleObject4.bin"/><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chart" Target="charts/chart5.xml"/><Relationship Id="rId49" Type="http://schemas.openxmlformats.org/officeDocument/2006/relationships/image" Target="media/image31.jpeg"/><Relationship Id="rId57" Type="http://schemas.openxmlformats.org/officeDocument/2006/relationships/chart" Target="charts/chart11.xml"/><Relationship Id="rId61" Type="http://schemas.openxmlformats.org/officeDocument/2006/relationships/oleObject" Target="embeddings/oleObject2.bin"/><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chart" Target="charts/chart9.xml"/><Relationship Id="rId60" Type="http://schemas.openxmlformats.org/officeDocument/2006/relationships/image" Target="media/image36.png"/><Relationship Id="rId65" Type="http://schemas.openxmlformats.org/officeDocument/2006/relationships/image" Target="media/image3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8.png"/><Relationship Id="rId14" Type="http://schemas.openxmlformats.org/officeDocument/2006/relationships/hyperlink" Target="mailto:stuartrichardson@buryhospice.org.uk"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chart" Target="charts/chart4.xml"/><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image" Target="media/image35.png"/><Relationship Id="rId64" Type="http://schemas.openxmlformats.org/officeDocument/2006/relationships/hyperlink" Target="https://www.manchestereveningnews.co.uk/all-about/bury" TargetMode="External"/><Relationship Id="rId69"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chart" Target="charts/chart7.xml"/><Relationship Id="rId46" Type="http://schemas.openxmlformats.org/officeDocument/2006/relationships/image" Target="media/image28.jpeg"/><Relationship Id="rId59" Type="http://schemas.openxmlformats.org/officeDocument/2006/relationships/chart" Target="charts/chart13.xml"/><Relationship Id="rId67" Type="http://schemas.openxmlformats.org/officeDocument/2006/relationships/image" Target="media/image39.png"/><Relationship Id="rId20" Type="http://schemas.openxmlformats.org/officeDocument/2006/relationships/chart" Target="charts/chart1.xm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37.png"/><Relationship Id="rId7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Jenny.Gallagher\Documents\Quality%20Accounts\Our%20info\Final%20-%20Equality,%20Diversity%20and%20Inclusion%20-%20%20Report%202024%20to%202025.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600" b="1" strike="noStrike" spc="-1">
                <a:solidFill>
                  <a:srgbClr val="000000"/>
                </a:solidFill>
                <a:latin typeface="Cambria"/>
              </a:defRPr>
            </a:pPr>
            <a:r>
              <a:rPr lang="en-GB" sz="1400" b="1" strike="noStrike" spc="-1">
                <a:solidFill>
                  <a:srgbClr val="000000"/>
                </a:solidFill>
                <a:latin typeface="Calibri" panose="020F0502020204030204" pitchFamily="34" charset="0"/>
                <a:cs typeface="Calibri" panose="020F0502020204030204" pitchFamily="34" charset="0"/>
              </a:rPr>
              <a:t>AGE</a:t>
            </a:r>
          </a:p>
        </c:rich>
      </c:tx>
      <c:layout>
        <c:manualLayout>
          <c:xMode val="edge"/>
          <c:yMode val="edge"/>
          <c:x val="0.45357171619553799"/>
          <c:y val="1.34450506625097E-2"/>
        </c:manualLayout>
      </c:layout>
      <c:overlay val="0"/>
      <c:spPr>
        <a:noFill/>
        <a:ln w="0">
          <a:noFill/>
        </a:ln>
      </c:spPr>
    </c:title>
    <c:autoTitleDeleted val="0"/>
    <c:plotArea>
      <c:layout>
        <c:manualLayout>
          <c:layoutTarget val="inner"/>
          <c:xMode val="edge"/>
          <c:yMode val="edge"/>
          <c:x val="9.7687499999999997E-2"/>
          <c:y val="0.13266666666666699"/>
          <c:w val="0.82450000000000001"/>
          <c:h val="0.70322222222222197"/>
        </c:manualLayout>
      </c:layout>
      <c:barChart>
        <c:barDir val="col"/>
        <c:grouping val="clustered"/>
        <c:varyColors val="0"/>
        <c:ser>
          <c:idx val="0"/>
          <c:order val="0"/>
          <c:tx>
            <c:strRef>
              <c:f>label 0</c:f>
              <c:strCache>
                <c:ptCount val="1"/>
                <c:pt idx="0">
                  <c:v>Series1</c:v>
                </c:pt>
              </c:strCache>
            </c:strRef>
          </c:tx>
          <c:spPr>
            <a:solidFill>
              <a:srgbClr val="71588F"/>
            </a:solidFill>
            <a:ln w="0">
              <a:noFill/>
            </a:ln>
          </c:spPr>
          <c:invertIfNegative val="0"/>
          <c:dLbls>
            <c:spPr>
              <a:noFill/>
              <a:ln>
                <a:noFill/>
              </a:ln>
              <a:effectLst/>
            </c:spPr>
            <c:txPr>
              <a:bodyPr wrap="none"/>
              <a:lstStyle/>
              <a:p>
                <a:pPr>
                  <a:defRPr sz="1000" b="0" strike="noStrike" spc="-1">
                    <a:latin typeface="Arial"/>
                  </a:defRPr>
                </a:pPr>
                <a:endParaRPr lang="en-US"/>
              </a:p>
            </c:txP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7"/>
                <c:pt idx="0">
                  <c:v>0-18</c:v>
                </c:pt>
                <c:pt idx="1">
                  <c:v>19-29</c:v>
                </c:pt>
                <c:pt idx="2">
                  <c:v>30-39</c:v>
                </c:pt>
                <c:pt idx="3">
                  <c:v>40-49</c:v>
                </c:pt>
                <c:pt idx="4">
                  <c:v>50-59</c:v>
                </c:pt>
                <c:pt idx="5">
                  <c:v>60-69</c:v>
                </c:pt>
                <c:pt idx="6">
                  <c:v>70-79</c:v>
                </c:pt>
              </c:strCache>
            </c:strRef>
          </c:cat>
          <c:val>
            <c:numRef>
              <c:f>0</c:f>
              <c:numCache>
                <c:formatCode>General</c:formatCode>
                <c:ptCount val="7"/>
                <c:pt idx="0">
                  <c:v>1</c:v>
                </c:pt>
                <c:pt idx="1">
                  <c:v>17</c:v>
                </c:pt>
                <c:pt idx="2">
                  <c:v>24</c:v>
                </c:pt>
                <c:pt idx="3">
                  <c:v>17</c:v>
                </c:pt>
                <c:pt idx="4">
                  <c:v>34</c:v>
                </c:pt>
                <c:pt idx="5">
                  <c:v>36</c:v>
                </c:pt>
                <c:pt idx="6">
                  <c:v>2</c:v>
                </c:pt>
              </c:numCache>
            </c:numRef>
          </c:val>
          <c:extLst>
            <c:ext xmlns:c16="http://schemas.microsoft.com/office/drawing/2014/chart" uri="{C3380CC4-5D6E-409C-BE32-E72D297353CC}">
              <c16:uniqueId val="{00000000-6185-4991-99D1-FAAD3C50BD01}"/>
            </c:ext>
          </c:extLst>
        </c:ser>
        <c:ser>
          <c:idx val="1"/>
          <c:order val="1"/>
          <c:tx>
            <c:strRef>
              <c:f>label 1</c:f>
              <c:strCache>
                <c:ptCount val="1"/>
                <c:pt idx="0">
                  <c:v>Series2</c:v>
                </c:pt>
              </c:strCache>
            </c:strRef>
          </c:tx>
          <c:spPr>
            <a:solidFill>
              <a:srgbClr val="A89BBC"/>
            </a:solidFill>
            <a:ln w="0">
              <a:noFill/>
            </a:ln>
          </c:spPr>
          <c:invertIfNegative val="0"/>
          <c:dPt>
            <c:idx val="0"/>
            <c:invertIfNegative val="0"/>
            <c:bubble3D val="0"/>
            <c:extLst>
              <c:ext xmlns:c16="http://schemas.microsoft.com/office/drawing/2014/chart" uri="{C3380CC4-5D6E-409C-BE32-E72D297353CC}">
                <c16:uniqueId val="{00000002-6185-4991-99D1-FAAD3C50BD01}"/>
              </c:ext>
            </c:extLst>
          </c:dPt>
          <c:dPt>
            <c:idx val="1"/>
            <c:invertIfNegative val="0"/>
            <c:bubble3D val="0"/>
            <c:extLst>
              <c:ext xmlns:c16="http://schemas.microsoft.com/office/drawing/2014/chart" uri="{C3380CC4-5D6E-409C-BE32-E72D297353CC}">
                <c16:uniqueId val="{00000004-6185-4991-99D1-FAAD3C50BD01}"/>
              </c:ext>
            </c:extLst>
          </c:dPt>
          <c:dPt>
            <c:idx val="2"/>
            <c:invertIfNegative val="0"/>
            <c:bubble3D val="0"/>
            <c:extLst>
              <c:ext xmlns:c16="http://schemas.microsoft.com/office/drawing/2014/chart" uri="{C3380CC4-5D6E-409C-BE32-E72D297353CC}">
                <c16:uniqueId val="{00000006-6185-4991-99D1-FAAD3C50BD01}"/>
              </c:ext>
            </c:extLst>
          </c:dPt>
          <c:dPt>
            <c:idx val="3"/>
            <c:invertIfNegative val="0"/>
            <c:bubble3D val="0"/>
            <c:extLst>
              <c:ext xmlns:c16="http://schemas.microsoft.com/office/drawing/2014/chart" uri="{C3380CC4-5D6E-409C-BE32-E72D297353CC}">
                <c16:uniqueId val="{00000008-6185-4991-99D1-FAAD3C50BD01}"/>
              </c:ext>
            </c:extLst>
          </c:dPt>
          <c:dPt>
            <c:idx val="4"/>
            <c:invertIfNegative val="0"/>
            <c:bubble3D val="0"/>
            <c:extLst>
              <c:ext xmlns:c16="http://schemas.microsoft.com/office/drawing/2014/chart" uri="{C3380CC4-5D6E-409C-BE32-E72D297353CC}">
                <c16:uniqueId val="{0000000A-6185-4991-99D1-FAAD3C50BD01}"/>
              </c:ext>
            </c:extLst>
          </c:dPt>
          <c:dPt>
            <c:idx val="5"/>
            <c:invertIfNegative val="0"/>
            <c:bubble3D val="0"/>
            <c:extLst>
              <c:ext xmlns:c16="http://schemas.microsoft.com/office/drawing/2014/chart" uri="{C3380CC4-5D6E-409C-BE32-E72D297353CC}">
                <c16:uniqueId val="{0000000C-6185-4991-99D1-FAAD3C50BD01}"/>
              </c:ext>
            </c:extLst>
          </c:dPt>
          <c:dPt>
            <c:idx val="6"/>
            <c:invertIfNegative val="0"/>
            <c:bubble3D val="0"/>
            <c:extLst>
              <c:ext xmlns:c16="http://schemas.microsoft.com/office/drawing/2014/chart" uri="{C3380CC4-5D6E-409C-BE32-E72D297353CC}">
                <c16:uniqueId val="{0000000E-6185-4991-99D1-FAAD3C50BD01}"/>
              </c:ext>
            </c:extLst>
          </c:dPt>
          <c:dLbls>
            <c:dLbl>
              <c:idx val="0"/>
              <c:layout>
                <c:manualLayout>
                  <c:x val="-3.57276716118438E-2"/>
                  <c:y val="-1.2803869040241301E-2"/>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2-6185-4991-99D1-FAAD3C50BD01}"/>
                </c:ext>
              </c:extLst>
            </c:dLbl>
            <c:dLbl>
              <c:idx val="1"/>
              <c:layout>
                <c:manualLayout>
                  <c:x val="-3.2979389180163597E-2"/>
                  <c:y val="-0.28235443133401"/>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4-6185-4991-99D1-FAAD3C50BD01}"/>
                </c:ext>
              </c:extLst>
            </c:dLbl>
            <c:dLbl>
              <c:idx val="2"/>
              <c:layout>
                <c:manualLayout>
                  <c:x val="-3.3041753589171302E-2"/>
                  <c:y val="-0.40455335583869201"/>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6-6185-4991-99D1-FAAD3C50BD01}"/>
                </c:ext>
              </c:extLst>
            </c:dLbl>
            <c:dLbl>
              <c:idx val="3"/>
              <c:layout>
                <c:manualLayout>
                  <c:x val="-3.57952330549356E-2"/>
                  <c:y val="-0.27969028545234498"/>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8-6185-4991-99D1-FAAD3C50BD01}"/>
                </c:ext>
              </c:extLst>
            </c:dLbl>
            <c:dLbl>
              <c:idx val="4"/>
              <c:layout>
                <c:manualLayout>
                  <c:x val="-3.0288274123407E-2"/>
                  <c:y val="-0.58107035833801002"/>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A-6185-4991-99D1-FAAD3C50BD01}"/>
                </c:ext>
              </c:extLst>
            </c:dLbl>
            <c:dLbl>
              <c:idx val="5"/>
              <c:layout>
                <c:manualLayout>
                  <c:x val="-2.75347946576429E-2"/>
                  <c:y val="-0.61116840113690396"/>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C-6185-4991-99D1-FAAD3C50BD01}"/>
                </c:ext>
              </c:extLst>
            </c:dLbl>
            <c:dLbl>
              <c:idx val="6"/>
              <c:layout>
                <c:manualLayout>
                  <c:x val="-3.0288274123407E-2"/>
                  <c:y val="-2.1421649617997501E-2"/>
                </c:manualLayout>
              </c:layout>
              <c:numFmt formatCode="0%" sourceLinked="0"/>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E-6185-4991-99D1-FAAD3C50BD01}"/>
                </c:ext>
              </c:extLst>
            </c:dLbl>
            <c:numFmt formatCode="0%" sourceLinked="0"/>
            <c:spPr>
              <a:noFill/>
              <a:ln>
                <a:noFill/>
              </a:ln>
              <a:effectLst/>
            </c:spPr>
            <c:txPr>
              <a:bodyPr wrap="square"/>
              <a:lstStyle/>
              <a:p>
                <a:pPr>
                  <a:defRPr sz="1000" b="1" strike="noStrike" spc="-1">
                    <a:solidFill>
                      <a:srgbClr val="000000"/>
                    </a:solidFill>
                    <a:latin typeface="Cambria"/>
                  </a:defRPr>
                </a:pPr>
                <a:endParaRPr lang="en-US"/>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categories</c:f>
              <c:strCache>
                <c:ptCount val="7"/>
                <c:pt idx="0">
                  <c:v>0-18</c:v>
                </c:pt>
                <c:pt idx="1">
                  <c:v>19-29</c:v>
                </c:pt>
                <c:pt idx="2">
                  <c:v>30-39</c:v>
                </c:pt>
                <c:pt idx="3">
                  <c:v>40-49</c:v>
                </c:pt>
                <c:pt idx="4">
                  <c:v>50-59</c:v>
                </c:pt>
                <c:pt idx="5">
                  <c:v>60-69</c:v>
                </c:pt>
                <c:pt idx="6">
                  <c:v>70-79</c:v>
                </c:pt>
              </c:strCache>
            </c:strRef>
          </c:cat>
          <c:val>
            <c:numRef>
              <c:f>1</c:f>
              <c:numCache>
                <c:formatCode>General</c:formatCode>
                <c:ptCount val="7"/>
                <c:pt idx="0">
                  <c:v>7.63358778625954E-3</c:v>
                </c:pt>
                <c:pt idx="1">
                  <c:v>0.12977099236641201</c:v>
                </c:pt>
                <c:pt idx="2">
                  <c:v>0.18320610687022901</c:v>
                </c:pt>
                <c:pt idx="3">
                  <c:v>0.12977099236641201</c:v>
                </c:pt>
                <c:pt idx="4">
                  <c:v>0.25954198473282403</c:v>
                </c:pt>
                <c:pt idx="5">
                  <c:v>0.27480916030534402</c:v>
                </c:pt>
                <c:pt idx="6">
                  <c:v>1.5267175572519101E-2</c:v>
                </c:pt>
              </c:numCache>
            </c:numRef>
          </c:val>
          <c:extLst>
            <c:ext xmlns:c16="http://schemas.microsoft.com/office/drawing/2014/chart" uri="{C3380CC4-5D6E-409C-BE32-E72D297353CC}">
              <c16:uniqueId val="{0000000F-6185-4991-99D1-FAAD3C50BD01}"/>
            </c:ext>
          </c:extLst>
        </c:ser>
        <c:dLbls>
          <c:showLegendKey val="0"/>
          <c:showVal val="0"/>
          <c:showCatName val="0"/>
          <c:showSerName val="0"/>
          <c:showPercent val="0"/>
          <c:showBubbleSize val="0"/>
        </c:dLbls>
        <c:gapWidth val="219"/>
        <c:overlap val="-27"/>
        <c:axId val="11731869"/>
        <c:axId val="57434999"/>
      </c:barChart>
      <c:catAx>
        <c:axId val="11731869"/>
        <c:scaling>
          <c:orientation val="minMax"/>
        </c:scaling>
        <c:delete val="0"/>
        <c:axPos val="b"/>
        <c:title>
          <c:tx>
            <c:rich>
              <a:bodyPr rot="0"/>
              <a:lstStyle/>
              <a:p>
                <a:pPr>
                  <a:defRPr lang="en-GB" sz="1000" b="0" strike="noStrike" spc="-1">
                    <a:solidFill>
                      <a:srgbClr val="595959"/>
                    </a:solidFill>
                    <a:latin typeface="Cambria"/>
                  </a:defRPr>
                </a:pPr>
                <a:r>
                  <a:rPr lang="en-GB" sz="1000" b="0" strike="noStrike" spc="-1">
                    <a:solidFill>
                      <a:srgbClr val="595959"/>
                    </a:solidFill>
                    <a:latin typeface="Cambria"/>
                  </a:rPr>
                  <a:t>Age Range</a:t>
                </a:r>
              </a:p>
            </c:rich>
          </c:tx>
          <c:layout/>
          <c:overlay val="0"/>
          <c:spPr>
            <a:noFill/>
            <a:ln w="0">
              <a:noFill/>
            </a:ln>
          </c:spPr>
        </c:title>
        <c:numFmt formatCode="General" sourceLinked="0"/>
        <c:majorTickMark val="none"/>
        <c:minorTickMark val="none"/>
        <c:tickLblPos val="nextTo"/>
        <c:spPr>
          <a:ln w="9360">
            <a:solidFill>
              <a:srgbClr val="D9D9D9"/>
            </a:solidFill>
            <a:round/>
          </a:ln>
        </c:spPr>
        <c:txPr>
          <a:bodyPr/>
          <a:lstStyle/>
          <a:p>
            <a:pPr>
              <a:defRPr sz="900" b="1" strike="noStrike" spc="-1">
                <a:solidFill>
                  <a:srgbClr val="000000"/>
                </a:solidFill>
                <a:latin typeface="Cambria"/>
              </a:defRPr>
            </a:pPr>
            <a:endParaRPr lang="en-US"/>
          </a:p>
        </c:txPr>
        <c:crossAx val="57434999"/>
        <c:crosses val="autoZero"/>
        <c:auto val="1"/>
        <c:lblAlgn val="ctr"/>
        <c:lblOffset val="100"/>
        <c:noMultiLvlLbl val="0"/>
      </c:catAx>
      <c:valAx>
        <c:axId val="57434999"/>
        <c:scaling>
          <c:orientation val="minMax"/>
          <c:max val="40"/>
        </c:scaling>
        <c:delete val="0"/>
        <c:axPos val="l"/>
        <c:majorGridlines>
          <c:spPr>
            <a:ln w="9360">
              <a:solidFill>
                <a:srgbClr val="D9D9D9"/>
              </a:solidFill>
              <a:round/>
            </a:ln>
          </c:spPr>
        </c:majorGridlines>
        <c:title>
          <c:tx>
            <c:rich>
              <a:bodyPr rot="-5400000"/>
              <a:lstStyle/>
              <a:p>
                <a:pPr>
                  <a:defRPr lang="en-GB" sz="1000" b="0" strike="noStrike" spc="-1">
                    <a:solidFill>
                      <a:srgbClr val="595959"/>
                    </a:solidFill>
                    <a:latin typeface="Cambria"/>
                  </a:defRPr>
                </a:pPr>
                <a:r>
                  <a:rPr lang="en-GB" sz="1000" b="0" strike="noStrike" spc="-1">
                    <a:solidFill>
                      <a:srgbClr val="595959"/>
                    </a:solidFill>
                    <a:latin typeface="Cambria"/>
                  </a:rPr>
                  <a:t> N. of Staff</a:t>
                </a:r>
              </a:p>
            </c:rich>
          </c:tx>
          <c:layout/>
          <c:overlay val="0"/>
          <c:spPr>
            <a:noFill/>
            <a:ln w="0">
              <a:noFill/>
            </a:ln>
          </c:spPr>
        </c:title>
        <c:numFmt formatCode="General" sourceLinked="0"/>
        <c:majorTickMark val="none"/>
        <c:minorTickMark val="none"/>
        <c:tickLblPos val="low"/>
        <c:spPr>
          <a:ln w="9360">
            <a:noFill/>
          </a:ln>
        </c:spPr>
        <c:txPr>
          <a:bodyPr/>
          <a:lstStyle/>
          <a:p>
            <a:pPr>
              <a:defRPr sz="900" b="0" strike="noStrike" spc="-1">
                <a:solidFill>
                  <a:srgbClr val="595959"/>
                </a:solidFill>
                <a:latin typeface="Cambria"/>
              </a:defRPr>
            </a:pPr>
            <a:endParaRPr lang="en-US"/>
          </a:p>
        </c:txPr>
        <c:crossAx val="11731869"/>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strike="noStrike" spc="-1">
                <a:solidFill>
                  <a:srgbClr val="000000"/>
                </a:solidFill>
                <a:latin typeface="Cambria"/>
              </a:defRPr>
            </a:pPr>
            <a:r>
              <a:rPr lang="en-GB" sz="1200" b="1" strike="noStrike" spc="-1">
                <a:solidFill>
                  <a:srgbClr val="000000"/>
                </a:solidFill>
                <a:latin typeface="Calibri" panose="020F0502020204030204" pitchFamily="34" charset="0"/>
                <a:cs typeface="Calibri" panose="020F0502020204030204" pitchFamily="34" charset="0"/>
              </a:rPr>
              <a:t>PATIENT FEEDBACK OVERVIEW</a:t>
            </a:r>
          </a:p>
        </c:rich>
      </c:tx>
      <c:layout>
        <c:manualLayout>
          <c:xMode val="edge"/>
          <c:yMode val="edge"/>
          <c:x val="0.21839841164791499"/>
          <c:y val="3.4947884733292502E-2"/>
        </c:manualLayout>
      </c:layout>
      <c:overlay val="0"/>
      <c:spPr>
        <a:noFill/>
        <a:ln w="0">
          <a:noFill/>
        </a:ln>
      </c:spPr>
    </c:title>
    <c:autoTitleDeleted val="0"/>
    <c:plotArea>
      <c:layout>
        <c:manualLayout>
          <c:layoutTarget val="inner"/>
          <c:xMode val="edge"/>
          <c:yMode val="edge"/>
          <c:x val="0.1069375"/>
          <c:y val="0.19033333333333299"/>
          <c:w val="0.863375"/>
          <c:h val="0.70833333333333304"/>
        </c:manualLayout>
      </c:layout>
      <c:barChart>
        <c:barDir val="col"/>
        <c:grouping val="clustered"/>
        <c:varyColors val="0"/>
        <c:ser>
          <c:idx val="0"/>
          <c:order val="0"/>
          <c:tx>
            <c:strRef>
              <c:f>label 0</c:f>
              <c:strCache>
                <c:ptCount val="1"/>
                <c:pt idx="0">
                  <c:v>Series1</c:v>
                </c:pt>
              </c:strCache>
            </c:strRef>
          </c:tx>
          <c:spPr>
            <a:gradFill>
              <a:gsLst>
                <a:gs pos="0">
                  <a:srgbClr val="7E5AAA"/>
                </a:gs>
                <a:gs pos="100000">
                  <a:srgbClr val="C7AEED"/>
                </a:gs>
              </a:gsLst>
              <a:lin ang="16200000"/>
            </a:gradFill>
            <a:ln w="0">
              <a:noFill/>
            </a:ln>
          </c:spPr>
          <c:invertIfNegative val="0"/>
          <c:dLbls>
            <c:numFmt formatCode="0.00" sourceLinked="0"/>
            <c:spPr>
              <a:noFill/>
              <a:ln>
                <a:noFill/>
              </a:ln>
              <a:effectLst/>
            </c:spPr>
            <c:txPr>
              <a:bodyPr wrap="square"/>
              <a:lstStyle/>
              <a:p>
                <a:pPr>
                  <a:defRPr sz="1000" b="1" strike="noStrike" spc="-1">
                    <a:solidFill>
                      <a:srgbClr val="000000"/>
                    </a:solidFill>
                    <a:latin typeface="Cambria"/>
                  </a:defRPr>
                </a:pPr>
                <a:endParaRPr lang="en-US"/>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Q1</c:v>
                </c:pt>
                <c:pt idx="1">
                  <c:v>Q2</c:v>
                </c:pt>
                <c:pt idx="2">
                  <c:v>Q3</c:v>
                </c:pt>
                <c:pt idx="3">
                  <c:v>Q4</c:v>
                </c:pt>
              </c:strCache>
            </c:strRef>
          </c:cat>
          <c:val>
            <c:numRef>
              <c:f>0</c:f>
              <c:numCache>
                <c:formatCode>General</c:formatCode>
                <c:ptCount val="4"/>
                <c:pt idx="0">
                  <c:v>4.9366666666666701</c:v>
                </c:pt>
                <c:pt idx="1">
                  <c:v>4.9800000000000004</c:v>
                </c:pt>
                <c:pt idx="2">
                  <c:v>4.9566666666666697</c:v>
                </c:pt>
                <c:pt idx="3">
                  <c:v>4.6366666666666703</c:v>
                </c:pt>
              </c:numCache>
            </c:numRef>
          </c:val>
          <c:extLst>
            <c:ext xmlns:c16="http://schemas.microsoft.com/office/drawing/2014/chart" uri="{C3380CC4-5D6E-409C-BE32-E72D297353CC}">
              <c16:uniqueId val="{00000000-197C-45A2-ABE4-36DFB114BCCB}"/>
            </c:ext>
          </c:extLst>
        </c:ser>
        <c:dLbls>
          <c:showLegendKey val="0"/>
          <c:showVal val="0"/>
          <c:showCatName val="0"/>
          <c:showSerName val="0"/>
          <c:showPercent val="0"/>
          <c:showBubbleSize val="0"/>
        </c:dLbls>
        <c:gapWidth val="100"/>
        <c:overlap val="-24"/>
        <c:axId val="13089385"/>
        <c:axId val="68612731"/>
      </c:barChart>
      <c:catAx>
        <c:axId val="13089385"/>
        <c:scaling>
          <c:orientation val="minMax"/>
        </c:scaling>
        <c:delete val="0"/>
        <c:axPos val="b"/>
        <c:numFmt formatCode="General" sourceLinked="0"/>
        <c:majorTickMark val="none"/>
        <c:minorTickMark val="none"/>
        <c:tickLblPos val="nextTo"/>
        <c:spPr>
          <a:ln w="9360">
            <a:solidFill>
              <a:srgbClr val="D4E3F4"/>
            </a:solidFill>
            <a:round/>
          </a:ln>
        </c:spPr>
        <c:txPr>
          <a:bodyPr/>
          <a:lstStyle/>
          <a:p>
            <a:pPr>
              <a:defRPr sz="900" b="1" strike="noStrike" spc="-1">
                <a:solidFill>
                  <a:srgbClr val="000000"/>
                </a:solidFill>
                <a:latin typeface="Cambria"/>
              </a:defRPr>
            </a:pPr>
            <a:endParaRPr lang="en-US"/>
          </a:p>
        </c:txPr>
        <c:crossAx val="68612731"/>
        <c:crosses val="autoZero"/>
        <c:auto val="1"/>
        <c:lblAlgn val="ctr"/>
        <c:lblOffset val="100"/>
        <c:noMultiLvlLbl val="0"/>
      </c:catAx>
      <c:valAx>
        <c:axId val="68612731"/>
        <c:scaling>
          <c:orientation val="minMax"/>
          <c:max val="5"/>
          <c:min val="1"/>
        </c:scaling>
        <c:delete val="0"/>
        <c:axPos val="l"/>
        <c:majorGridlines>
          <c:spPr>
            <a:ln w="9360">
              <a:solidFill>
                <a:srgbClr val="D4E3F4"/>
              </a:solidFill>
              <a:round/>
            </a:ln>
          </c:spPr>
        </c:majorGridlines>
        <c:title>
          <c:tx>
            <c:rich>
              <a:bodyPr rot="-5400000"/>
              <a:lstStyle/>
              <a:p>
                <a:pPr>
                  <a:defRPr lang="en-GB" sz="1000" b="0" strike="noStrike" spc="-1">
                    <a:solidFill>
                      <a:srgbClr val="000000"/>
                    </a:solidFill>
                    <a:latin typeface="Calibri"/>
                  </a:defRPr>
                </a:pPr>
                <a:r>
                  <a:rPr lang="en-GB" sz="1000" b="0" strike="noStrike" spc="-1">
                    <a:solidFill>
                      <a:srgbClr val="000000"/>
                    </a:solidFill>
                    <a:latin typeface="Calibri"/>
                  </a:rPr>
                  <a:t>Score out of 5</a:t>
                </a:r>
              </a:p>
            </c:rich>
          </c:tx>
          <c:overlay val="0"/>
          <c:spPr>
            <a:noFill/>
            <a:ln w="0">
              <a:noFill/>
            </a:ln>
          </c:spPr>
        </c:title>
        <c:numFmt formatCode="0" sourceLinked="0"/>
        <c:majorTickMark val="none"/>
        <c:minorTickMark val="none"/>
        <c:tickLblPos val="nextTo"/>
        <c:spPr>
          <a:ln w="9360">
            <a:noFill/>
          </a:ln>
        </c:spPr>
        <c:txPr>
          <a:bodyPr/>
          <a:lstStyle/>
          <a:p>
            <a:pPr>
              <a:defRPr sz="900" b="0" strike="noStrike" spc="-1">
                <a:solidFill>
                  <a:srgbClr val="1F497D"/>
                </a:solidFill>
                <a:latin typeface="Cambria"/>
              </a:defRPr>
            </a:pPr>
            <a:endParaRPr lang="en-US"/>
          </a:p>
        </c:txPr>
        <c:crossAx val="13089385"/>
        <c:crosses val="autoZero"/>
        <c:crossBetween val="between"/>
        <c:majorUnit val="1"/>
        <c:minorUnit val="1"/>
      </c:valAx>
      <c:spPr>
        <a:noFill/>
        <a:ln w="0">
          <a:noFill/>
        </a:ln>
      </c:spPr>
    </c:plotArea>
    <c:plotVisOnly val="1"/>
    <c:dispBlanksAs val="gap"/>
    <c:showDLblsOverMax val="1"/>
  </c:chart>
  <c:spPr>
    <a:solidFill>
      <a:srgbClr val="FFFFFF"/>
    </a:solidFill>
    <a:ln w="9360">
      <a:solidFill>
        <a:srgbClr val="D4E3F4"/>
      </a:solidFill>
      <a:round/>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strike="noStrike" spc="-1">
                <a:solidFill>
                  <a:srgbClr val="000000"/>
                </a:solidFill>
                <a:latin typeface="Cambria"/>
              </a:defRPr>
            </a:pPr>
            <a:r>
              <a:rPr lang="en-GB" sz="1200" b="1" strike="noStrike" spc="-1">
                <a:solidFill>
                  <a:srgbClr val="000000"/>
                </a:solidFill>
                <a:latin typeface="Calibri" panose="020F0502020204030204" pitchFamily="34" charset="0"/>
                <a:cs typeface="Calibri" panose="020F0502020204030204" pitchFamily="34" charset="0"/>
              </a:rPr>
              <a:t>VISITOR FEEDBACK SUMMARY   </a:t>
            </a:r>
          </a:p>
        </c:rich>
      </c:tx>
      <c:overlay val="0"/>
      <c:spPr>
        <a:noFill/>
        <a:ln w="0">
          <a:noFill/>
        </a:ln>
      </c:spPr>
    </c:title>
    <c:autoTitleDeleted val="0"/>
    <c:plotArea>
      <c:layout/>
      <c:barChart>
        <c:barDir val="col"/>
        <c:grouping val="clustered"/>
        <c:varyColors val="0"/>
        <c:ser>
          <c:idx val="0"/>
          <c:order val="0"/>
          <c:tx>
            <c:strRef>
              <c:f>label 0</c:f>
              <c:strCache>
                <c:ptCount val="1"/>
                <c:pt idx="0">
                  <c:v>Series1</c:v>
                </c:pt>
              </c:strCache>
            </c:strRef>
          </c:tx>
          <c:spPr>
            <a:gradFill>
              <a:gsLst>
                <a:gs pos="0">
                  <a:srgbClr val="7E5AAA"/>
                </a:gs>
                <a:gs pos="100000">
                  <a:srgbClr val="C7AEED"/>
                </a:gs>
              </a:gsLst>
              <a:lin ang="16200000"/>
            </a:gradFill>
            <a:ln w="0">
              <a:noFill/>
            </a:ln>
          </c:spPr>
          <c:invertIfNegative val="0"/>
          <c:dLbls>
            <c:numFmt formatCode="0.00" sourceLinked="0"/>
            <c:spPr>
              <a:noFill/>
              <a:ln>
                <a:noFill/>
              </a:ln>
              <a:effectLst/>
            </c:spPr>
            <c:txPr>
              <a:bodyPr wrap="square"/>
              <a:lstStyle/>
              <a:p>
                <a:pPr>
                  <a:defRPr sz="1000" b="1" strike="noStrike" spc="-1">
                    <a:solidFill>
                      <a:srgbClr val="000000"/>
                    </a:solidFill>
                    <a:latin typeface="Cambria"/>
                  </a:defRPr>
                </a:pPr>
                <a:endParaRPr lang="en-US"/>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4"/>
                <c:pt idx="0">
                  <c:v>Q1 </c:v>
                </c:pt>
                <c:pt idx="1">
                  <c:v>Q2</c:v>
                </c:pt>
                <c:pt idx="2">
                  <c:v>Q3</c:v>
                </c:pt>
                <c:pt idx="3">
                  <c:v>Q4</c:v>
                </c:pt>
              </c:strCache>
            </c:strRef>
          </c:cat>
          <c:val>
            <c:numRef>
              <c:f>0</c:f>
              <c:numCache>
                <c:formatCode>General</c:formatCode>
                <c:ptCount val="4"/>
                <c:pt idx="0">
                  <c:v>4.9066455696202498</c:v>
                </c:pt>
                <c:pt idx="1">
                  <c:v>4.9182369849888197</c:v>
                </c:pt>
                <c:pt idx="2">
                  <c:v>4.92226980728051</c:v>
                </c:pt>
                <c:pt idx="3">
                  <c:v>4.9245914550108303</c:v>
                </c:pt>
              </c:numCache>
            </c:numRef>
          </c:val>
          <c:extLst>
            <c:ext xmlns:c16="http://schemas.microsoft.com/office/drawing/2014/chart" uri="{C3380CC4-5D6E-409C-BE32-E72D297353CC}">
              <c16:uniqueId val="{00000000-F61C-4FA1-AD6F-5D9FE7D27AAB}"/>
            </c:ext>
          </c:extLst>
        </c:ser>
        <c:dLbls>
          <c:showLegendKey val="0"/>
          <c:showVal val="0"/>
          <c:showCatName val="0"/>
          <c:showSerName val="0"/>
          <c:showPercent val="0"/>
          <c:showBubbleSize val="0"/>
        </c:dLbls>
        <c:gapWidth val="100"/>
        <c:overlap val="-24"/>
        <c:axId val="32241512"/>
        <c:axId val="29398072"/>
      </c:barChart>
      <c:catAx>
        <c:axId val="32241512"/>
        <c:scaling>
          <c:orientation val="minMax"/>
        </c:scaling>
        <c:delete val="0"/>
        <c:axPos val="b"/>
        <c:numFmt formatCode="General" sourceLinked="0"/>
        <c:majorTickMark val="none"/>
        <c:minorTickMark val="none"/>
        <c:tickLblPos val="nextTo"/>
        <c:spPr>
          <a:ln w="12600">
            <a:solidFill>
              <a:srgbClr val="D9D9D9"/>
            </a:solidFill>
            <a:round/>
          </a:ln>
        </c:spPr>
        <c:txPr>
          <a:bodyPr/>
          <a:lstStyle/>
          <a:p>
            <a:pPr>
              <a:defRPr sz="900" b="1" strike="noStrike" spc="-1">
                <a:solidFill>
                  <a:srgbClr val="000000"/>
                </a:solidFill>
                <a:latin typeface="Cambria"/>
              </a:defRPr>
            </a:pPr>
            <a:endParaRPr lang="en-US"/>
          </a:p>
        </c:txPr>
        <c:crossAx val="29398072"/>
        <c:crosses val="autoZero"/>
        <c:auto val="1"/>
        <c:lblAlgn val="ctr"/>
        <c:lblOffset val="100"/>
        <c:noMultiLvlLbl val="0"/>
      </c:catAx>
      <c:valAx>
        <c:axId val="29398072"/>
        <c:scaling>
          <c:orientation val="minMax"/>
          <c:max val="5"/>
          <c:min val="1"/>
        </c:scaling>
        <c:delete val="0"/>
        <c:axPos val="l"/>
        <c:majorGridlines>
          <c:spPr>
            <a:ln w="9360">
              <a:solidFill>
                <a:srgbClr val="D9D9D9"/>
              </a:solidFill>
              <a:round/>
            </a:ln>
          </c:spPr>
        </c:majorGridlines>
        <c:title>
          <c:tx>
            <c:rich>
              <a:bodyPr rot="-5400000"/>
              <a:lstStyle/>
              <a:p>
                <a:pPr>
                  <a:defRPr lang="en-GB" sz="900" b="0" strike="noStrike" spc="-1">
                    <a:solidFill>
                      <a:srgbClr val="000000"/>
                    </a:solidFill>
                    <a:latin typeface="Cambria"/>
                  </a:defRPr>
                </a:pPr>
                <a:r>
                  <a:rPr lang="en-GB" sz="900" b="0" strike="noStrike" spc="-1">
                    <a:solidFill>
                      <a:srgbClr val="000000"/>
                    </a:solidFill>
                    <a:latin typeface="Cambria"/>
                  </a:rPr>
                  <a:t> Score out of 5</a:t>
                </a:r>
              </a:p>
            </c:rich>
          </c:tx>
          <c:overlay val="0"/>
          <c:spPr>
            <a:noFill/>
            <a:ln w="0">
              <a:noFill/>
            </a:ln>
          </c:spPr>
        </c:title>
        <c:numFmt formatCode="0" sourceLinked="0"/>
        <c:majorTickMark val="none"/>
        <c:minorTickMark val="none"/>
        <c:tickLblPos val="nextTo"/>
        <c:spPr>
          <a:ln w="9360">
            <a:noFill/>
          </a:ln>
        </c:spPr>
        <c:txPr>
          <a:bodyPr/>
          <a:lstStyle/>
          <a:p>
            <a:pPr>
              <a:defRPr sz="900" b="0" strike="noStrike" spc="-1">
                <a:solidFill>
                  <a:srgbClr val="595959"/>
                </a:solidFill>
                <a:latin typeface="Cambria"/>
              </a:defRPr>
            </a:pPr>
            <a:endParaRPr lang="en-US"/>
          </a:p>
        </c:txPr>
        <c:crossAx val="32241512"/>
        <c:crosses val="autoZero"/>
        <c:crossBetween val="between"/>
        <c:majorUnit val="1"/>
        <c:minorUnit val="1"/>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u="sng" strike="noStrike" spc="-1">
                <a:solidFill>
                  <a:srgbClr val="000000"/>
                </a:solidFill>
                <a:uFillTx/>
                <a:latin typeface="Cambria"/>
              </a:defRPr>
            </a:pPr>
            <a:r>
              <a:rPr lang="en-GB" sz="1200" b="1" u="sng" strike="noStrike" spc="-1">
                <a:solidFill>
                  <a:srgbClr val="000000"/>
                </a:solidFill>
                <a:uFillTx/>
                <a:latin typeface="Calibri" panose="020F0502020204030204" pitchFamily="34" charset="0"/>
                <a:cs typeface="Calibri" panose="020F0502020204030204" pitchFamily="34" charset="0"/>
              </a:rPr>
              <a:t>COMPLAINTS &amp; CONCERNS</a:t>
            </a:r>
          </a:p>
        </c:rich>
      </c:tx>
      <c:overlay val="0"/>
      <c:spPr>
        <a:noFill/>
        <a:ln w="0">
          <a:noFill/>
        </a:ln>
      </c:spPr>
    </c:title>
    <c:autoTitleDeleted val="0"/>
    <c:plotArea>
      <c:layout/>
      <c:barChart>
        <c:barDir val="bar"/>
        <c:grouping val="clustered"/>
        <c:varyColors val="0"/>
        <c:ser>
          <c:idx val="0"/>
          <c:order val="0"/>
          <c:tx>
            <c:strRef>
              <c:f>label 0</c:f>
              <c:strCache>
                <c:ptCount val="1"/>
                <c:pt idx="0">
                  <c:v>Complaints </c:v>
                </c:pt>
              </c:strCache>
            </c:strRef>
          </c:tx>
          <c:spPr>
            <a:solidFill>
              <a:srgbClr val="D2A8EA"/>
            </a:solidFill>
            <a:ln w="0">
              <a:noFill/>
            </a:ln>
          </c:spPr>
          <c:invertIfNegative val="0"/>
          <c:dLbls>
            <c:numFmt formatCode="General" sourceLinked="0"/>
            <c:spPr>
              <a:noFill/>
              <a:ln>
                <a:noFill/>
              </a:ln>
              <a:effectLst/>
            </c:spPr>
            <c:txPr>
              <a:bodyPr wrap="square"/>
              <a:lstStyle/>
              <a:p>
                <a:pPr>
                  <a:defRPr sz="105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multiLvlStrRef>
              <c:f>categories</c:f>
              <c:multiLvlStrCache>
                <c:ptCount val="4"/>
                <c:lvl>
                  <c:pt idx="0">
                    <c:v>Clinical </c:v>
                  </c:pt>
                  <c:pt idx="1">
                    <c:v>Non-Clinical</c:v>
                  </c:pt>
                  <c:pt idx="2">
                    <c:v>Clinical </c:v>
                  </c:pt>
                  <c:pt idx="3">
                    <c:v>Non-Clinical</c:v>
                  </c:pt>
                </c:lvl>
                <c:lvl>
                  <c:pt idx="0">
                    <c:v>2024/2025</c:v>
                  </c:pt>
                  <c:pt idx="2">
                    <c:v>2023/2024</c:v>
                  </c:pt>
                </c:lvl>
              </c:multiLvlStrCache>
            </c:multiLvlStrRef>
          </c:cat>
          <c:val>
            <c:numRef>
              <c:f>0</c:f>
              <c:numCache>
                <c:formatCode>General</c:formatCode>
                <c:ptCount val="4"/>
                <c:pt idx="0">
                  <c:v>5</c:v>
                </c:pt>
                <c:pt idx="1">
                  <c:v>10</c:v>
                </c:pt>
                <c:pt idx="2">
                  <c:v>2</c:v>
                </c:pt>
                <c:pt idx="3">
                  <c:v>7</c:v>
                </c:pt>
              </c:numCache>
            </c:numRef>
          </c:val>
          <c:extLst>
            <c:ext xmlns:c16="http://schemas.microsoft.com/office/drawing/2014/chart" uri="{C3380CC4-5D6E-409C-BE32-E72D297353CC}">
              <c16:uniqueId val="{00000000-9769-402E-B5A0-D5AE787DC646}"/>
            </c:ext>
          </c:extLst>
        </c:ser>
        <c:ser>
          <c:idx val="1"/>
          <c:order val="1"/>
          <c:tx>
            <c:strRef>
              <c:f>label 1</c:f>
              <c:strCache>
                <c:ptCount val="1"/>
                <c:pt idx="0">
                  <c:v>Concerns</c:v>
                </c:pt>
              </c:strCache>
            </c:strRef>
          </c:tx>
          <c:spPr>
            <a:solidFill>
              <a:srgbClr val="AB598E"/>
            </a:solidFill>
            <a:ln w="0">
              <a:noFill/>
            </a:ln>
          </c:spPr>
          <c:invertIfNegative val="0"/>
          <c:dLbls>
            <c:dLbl>
              <c:idx val="0"/>
              <c:layout>
                <c:manualLayout>
                  <c:x val="0"/>
                  <c:y val="-2.1220159151193633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24ED-40E0-912B-16994943C16D}"/>
                </c:ext>
              </c:extLst>
            </c:dLbl>
            <c:dLbl>
              <c:idx val="1"/>
              <c:layout>
                <c:manualLayout>
                  <c:x val="0"/>
                  <c:y val="-2.1220159151193633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24ED-40E0-912B-16994943C16D}"/>
                </c:ext>
              </c:extLst>
            </c:dLbl>
            <c:dLbl>
              <c:idx val="2"/>
              <c:layout>
                <c:manualLayout>
                  <c:x val="0"/>
                  <c:y val="-2.6525198938992092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24ED-40E0-912B-16994943C16D}"/>
                </c:ext>
              </c:extLst>
            </c:dLbl>
            <c:dLbl>
              <c:idx val="3"/>
              <c:layout>
                <c:manualLayout>
                  <c:x val="0"/>
                  <c:y val="-1.5915119363395226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24ED-40E0-912B-16994943C16D}"/>
                </c:ext>
              </c:extLst>
            </c:dLbl>
            <c:numFmt formatCode="General" sourceLinked="0"/>
            <c:spPr>
              <a:noFill/>
              <a:ln>
                <a:noFill/>
              </a:ln>
              <a:effectLst/>
            </c:spPr>
            <c:txPr>
              <a:bodyPr wrap="square"/>
              <a:lstStyle/>
              <a:p>
                <a:pPr>
                  <a:defRPr sz="105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multiLvlStrRef>
              <c:f>categories</c:f>
              <c:multiLvlStrCache>
                <c:ptCount val="4"/>
                <c:lvl>
                  <c:pt idx="0">
                    <c:v>Clinical </c:v>
                  </c:pt>
                  <c:pt idx="1">
                    <c:v>Non-Clinical</c:v>
                  </c:pt>
                  <c:pt idx="2">
                    <c:v>Clinical </c:v>
                  </c:pt>
                  <c:pt idx="3">
                    <c:v>Non-Clinical</c:v>
                  </c:pt>
                </c:lvl>
                <c:lvl>
                  <c:pt idx="0">
                    <c:v>2024/2025</c:v>
                  </c:pt>
                  <c:pt idx="2">
                    <c:v>2023/2024</c:v>
                  </c:pt>
                </c:lvl>
              </c:multiLvlStrCache>
            </c:multiLvlStrRef>
          </c:cat>
          <c:val>
            <c:numRef>
              <c:f>1</c:f>
              <c:numCache>
                <c:formatCode>General</c:formatCode>
                <c:ptCount val="4"/>
                <c:pt idx="0">
                  <c:v>0</c:v>
                </c:pt>
                <c:pt idx="1">
                  <c:v>4</c:v>
                </c:pt>
                <c:pt idx="2">
                  <c:v>2</c:v>
                </c:pt>
                <c:pt idx="3">
                  <c:v>5</c:v>
                </c:pt>
              </c:numCache>
            </c:numRef>
          </c:val>
          <c:extLst>
            <c:ext xmlns:c16="http://schemas.microsoft.com/office/drawing/2014/chart" uri="{C3380CC4-5D6E-409C-BE32-E72D297353CC}">
              <c16:uniqueId val="{00000001-9769-402E-B5A0-D5AE787DC646}"/>
            </c:ext>
          </c:extLst>
        </c:ser>
        <c:dLbls>
          <c:showLegendKey val="0"/>
          <c:showVal val="0"/>
          <c:showCatName val="0"/>
          <c:showSerName val="0"/>
          <c:showPercent val="0"/>
          <c:showBubbleSize val="0"/>
        </c:dLbls>
        <c:gapWidth val="182"/>
        <c:axId val="43433312"/>
        <c:axId val="19011539"/>
      </c:barChart>
      <c:catAx>
        <c:axId val="43433312"/>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solidFill>
              <a:srgbClr val="D9D9D9"/>
            </a:solidFill>
            <a:round/>
          </a:ln>
        </c:spPr>
        <c:txPr>
          <a:bodyPr/>
          <a:lstStyle/>
          <a:p>
            <a:pPr>
              <a:defRPr sz="1000" b="0" strike="noStrike" spc="-1">
                <a:solidFill>
                  <a:srgbClr val="000000"/>
                </a:solidFill>
                <a:latin typeface="Cambria"/>
              </a:defRPr>
            </a:pPr>
            <a:endParaRPr lang="en-US"/>
          </a:p>
        </c:txPr>
        <c:crossAx val="19011539"/>
        <c:crosses val="autoZero"/>
        <c:auto val="1"/>
        <c:lblAlgn val="ctr"/>
        <c:lblOffset val="100"/>
        <c:noMultiLvlLbl val="0"/>
      </c:catAx>
      <c:valAx>
        <c:axId val="19011539"/>
        <c:scaling>
          <c:orientation val="minMax"/>
          <c:max val="11"/>
        </c:scaling>
        <c:delete val="1"/>
        <c:axPos val="b"/>
        <c:numFmt formatCode="General" sourceLinked="1"/>
        <c:majorTickMark val="none"/>
        <c:minorTickMark val="none"/>
        <c:tickLblPos val="nextTo"/>
        <c:crossAx val="4343331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mbria"/>
            </a:defRPr>
          </a:pPr>
          <a:endParaRPr lang="en-US"/>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u="sng" strike="noStrike" spc="-1">
                <a:solidFill>
                  <a:srgbClr val="000000"/>
                </a:solidFill>
                <a:uFillTx/>
                <a:latin typeface="Cambria"/>
              </a:defRPr>
            </a:pPr>
            <a:r>
              <a:rPr lang="en-GB" sz="1200" b="1" u="sng" strike="noStrike" spc="-1">
                <a:solidFill>
                  <a:srgbClr val="000000"/>
                </a:solidFill>
                <a:uFillTx/>
                <a:latin typeface="Calibri" panose="020F0502020204030204" pitchFamily="34" charset="0"/>
                <a:cs typeface="Calibri" panose="020F0502020204030204" pitchFamily="34" charset="0"/>
              </a:rPr>
              <a:t>CATEGORY OF COMPLIMENT
Total n. received 154</a:t>
            </a:r>
          </a:p>
        </c:rich>
      </c:tx>
      <c:layout>
        <c:manualLayout>
          <c:xMode val="edge"/>
          <c:yMode val="edge"/>
          <c:x val="0.19593372404312301"/>
          <c:y val="3.2439638572063403E-2"/>
        </c:manualLayout>
      </c:layout>
      <c:overlay val="0"/>
      <c:spPr>
        <a:noFill/>
        <a:ln w="0">
          <a:noFill/>
        </a:ln>
      </c:spPr>
    </c:title>
    <c:autoTitleDeleted val="0"/>
    <c:plotArea>
      <c:layout>
        <c:manualLayout>
          <c:layoutTarget val="inner"/>
          <c:xMode val="edge"/>
          <c:yMode val="edge"/>
          <c:x val="0.47531250000000003"/>
          <c:y val="0.31466666666666698"/>
          <c:w val="0.43443749999999998"/>
          <c:h val="0.66744444444444395"/>
        </c:manualLayout>
      </c:layout>
      <c:pieChart>
        <c:varyColors val="1"/>
        <c:ser>
          <c:idx val="0"/>
          <c:order val="0"/>
          <c:tx>
            <c:strRef>
              <c:f>label 0</c:f>
              <c:strCache>
                <c:ptCount val="1"/>
                <c:pt idx="0">
                  <c:v>Series1</c:v>
                </c:pt>
              </c:strCache>
            </c:strRef>
          </c:tx>
          <c:spPr>
            <a:solidFill>
              <a:srgbClr val="AB598E"/>
            </a:solidFill>
            <a:ln w="0">
              <a:noFill/>
            </a:ln>
          </c:spPr>
          <c:dPt>
            <c:idx val="0"/>
            <c:bubble3D val="0"/>
            <c:spPr>
              <a:solidFill>
                <a:srgbClr val="7030A0"/>
              </a:solidFill>
              <a:ln w="19080">
                <a:solidFill>
                  <a:srgbClr val="FFFFFF"/>
                </a:solidFill>
                <a:round/>
              </a:ln>
            </c:spPr>
            <c:extLst>
              <c:ext xmlns:c16="http://schemas.microsoft.com/office/drawing/2014/chart" uri="{C3380CC4-5D6E-409C-BE32-E72D297353CC}">
                <c16:uniqueId val="{00000001-7242-4F54-9A25-DF92FFF77690}"/>
              </c:ext>
            </c:extLst>
          </c:dPt>
          <c:dPt>
            <c:idx val="1"/>
            <c:bubble3D val="0"/>
            <c:spPr>
              <a:solidFill>
                <a:srgbClr val="31859C"/>
              </a:solidFill>
              <a:ln w="19080">
                <a:solidFill>
                  <a:srgbClr val="FFFFFF"/>
                </a:solidFill>
                <a:round/>
              </a:ln>
            </c:spPr>
            <c:extLst>
              <c:ext xmlns:c16="http://schemas.microsoft.com/office/drawing/2014/chart" uri="{C3380CC4-5D6E-409C-BE32-E72D297353CC}">
                <c16:uniqueId val="{00000003-7242-4F54-9A25-DF92FFF77690}"/>
              </c:ext>
            </c:extLst>
          </c:dPt>
          <c:dPt>
            <c:idx val="2"/>
            <c:bubble3D val="0"/>
            <c:spPr>
              <a:solidFill>
                <a:srgbClr val="D311BC"/>
              </a:solidFill>
              <a:ln w="19080">
                <a:solidFill>
                  <a:srgbClr val="FFFFFF"/>
                </a:solidFill>
                <a:round/>
              </a:ln>
            </c:spPr>
            <c:extLst>
              <c:ext xmlns:c16="http://schemas.microsoft.com/office/drawing/2014/chart" uri="{C3380CC4-5D6E-409C-BE32-E72D297353CC}">
                <c16:uniqueId val="{00000005-7242-4F54-9A25-DF92FFF77690}"/>
              </c:ext>
            </c:extLst>
          </c:dPt>
          <c:dPt>
            <c:idx val="3"/>
            <c:bubble3D val="0"/>
            <c:spPr>
              <a:solidFill>
                <a:srgbClr val="FF99FF"/>
              </a:solidFill>
              <a:ln w="19080">
                <a:solidFill>
                  <a:srgbClr val="FFFFFF"/>
                </a:solidFill>
                <a:round/>
              </a:ln>
            </c:spPr>
            <c:extLst>
              <c:ext xmlns:c16="http://schemas.microsoft.com/office/drawing/2014/chart" uri="{C3380CC4-5D6E-409C-BE32-E72D297353CC}">
                <c16:uniqueId val="{00000007-7242-4F54-9A25-DF92FFF77690}"/>
              </c:ext>
            </c:extLst>
          </c:dPt>
          <c:dPt>
            <c:idx val="4"/>
            <c:bubble3D val="0"/>
            <c:spPr>
              <a:solidFill>
                <a:srgbClr val="660033"/>
              </a:solidFill>
              <a:ln w="19080">
                <a:solidFill>
                  <a:srgbClr val="FFFFFF"/>
                </a:solidFill>
                <a:round/>
              </a:ln>
            </c:spPr>
            <c:extLst>
              <c:ext xmlns:c16="http://schemas.microsoft.com/office/drawing/2014/chart" uri="{C3380CC4-5D6E-409C-BE32-E72D297353CC}">
                <c16:uniqueId val="{00000009-7242-4F54-9A25-DF92FFF77690}"/>
              </c:ext>
            </c:extLst>
          </c:dPt>
          <c:dPt>
            <c:idx val="5"/>
            <c:bubble3D val="0"/>
            <c:spPr>
              <a:solidFill>
                <a:srgbClr val="D2A8EA"/>
              </a:solidFill>
              <a:ln w="19080">
                <a:solidFill>
                  <a:srgbClr val="FFFFFF"/>
                </a:solidFill>
                <a:round/>
              </a:ln>
            </c:spPr>
            <c:extLst>
              <c:ext xmlns:c16="http://schemas.microsoft.com/office/drawing/2014/chart" uri="{C3380CC4-5D6E-409C-BE32-E72D297353CC}">
                <c16:uniqueId val="{0000000B-7242-4F54-9A25-DF92FFF77690}"/>
              </c:ext>
            </c:extLst>
          </c:dPt>
          <c:dLbls>
            <c:dLbl>
              <c:idx val="0"/>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1-7242-4F54-9A25-DF92FFF77690}"/>
                </c:ext>
              </c:extLst>
            </c:dLbl>
            <c:dLbl>
              <c:idx val="1"/>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3-7242-4F54-9A25-DF92FFF77690}"/>
                </c:ext>
              </c:extLst>
            </c:dLbl>
            <c:dLbl>
              <c:idx val="2"/>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5-7242-4F54-9A25-DF92FFF77690}"/>
                </c:ext>
              </c:extLst>
            </c:dLbl>
            <c:dLbl>
              <c:idx val="3"/>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7-7242-4F54-9A25-DF92FFF77690}"/>
                </c:ext>
              </c:extLst>
            </c:dLbl>
            <c:dLbl>
              <c:idx val="4"/>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9-7242-4F54-9A25-DF92FFF77690}"/>
                </c:ext>
              </c:extLst>
            </c:dLbl>
            <c:dLbl>
              <c:idx val="5"/>
              <c:numFmt formatCode="0%" sourceLinked="0"/>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B-7242-4F54-9A25-DF92FFF77690}"/>
                </c:ext>
              </c:extLst>
            </c:dLbl>
            <c:numFmt formatCode="0%" sourceLinked="0"/>
            <c:spPr>
              <a:noFill/>
              <a:ln>
                <a:noFill/>
              </a:ln>
              <a:effectLst/>
            </c:spPr>
            <c:txPr>
              <a:bodyPr wrap="square"/>
              <a:lstStyle/>
              <a:p>
                <a:pPr>
                  <a:defRPr sz="900" b="0" strike="noStrike" spc="-1">
                    <a:solidFill>
                      <a:srgbClr val="404040"/>
                    </a:solidFill>
                    <a:latin typeface="Cambria"/>
                  </a:defRPr>
                </a:pPr>
                <a:endParaRPr lang="en-US"/>
              </a:p>
            </c:txPr>
            <c:dLblPos val="outEnd"/>
            <c:showLegendKey val="0"/>
            <c:showVal val="1"/>
            <c:showCatName val="0"/>
            <c:showSerName val="0"/>
            <c:showPercent val="0"/>
            <c:showBubbleSize val="1"/>
            <c:separator>; </c:separator>
            <c:showLeaderLines val="1"/>
            <c:extLst>
              <c:ext xmlns:c15="http://schemas.microsoft.com/office/drawing/2012/chart" uri="{CE6537A1-D6FC-4f65-9D91-7224C49458BB}"/>
            </c:extLst>
          </c:dLbls>
          <c:cat>
            <c:strRef>
              <c:f>categories</c:f>
              <c:strCache>
                <c:ptCount val="6"/>
                <c:pt idx="0">
                  <c:v>Clinical Care</c:v>
                </c:pt>
                <c:pt idx="1">
                  <c:v>Going the Extra Mile</c:v>
                </c:pt>
                <c:pt idx="2">
                  <c:v>Communication</c:v>
                </c:pt>
                <c:pt idx="3">
                  <c:v>Team Work/Peer Support</c:v>
                </c:pt>
                <c:pt idx="4">
                  <c:v>Attention to detail</c:v>
                </c:pt>
                <c:pt idx="5">
                  <c:v>Other</c:v>
                </c:pt>
              </c:strCache>
            </c:strRef>
          </c:cat>
          <c:val>
            <c:numRef>
              <c:f>0</c:f>
              <c:numCache>
                <c:formatCode>General</c:formatCode>
                <c:ptCount val="6"/>
                <c:pt idx="0">
                  <c:v>0.38961038961039002</c:v>
                </c:pt>
                <c:pt idx="1">
                  <c:v>0.253246753246753</c:v>
                </c:pt>
                <c:pt idx="2">
                  <c:v>0.14935064935064901</c:v>
                </c:pt>
                <c:pt idx="3">
                  <c:v>0.123376623376623</c:v>
                </c:pt>
                <c:pt idx="4">
                  <c:v>6.4935064935064901E-2</c:v>
                </c:pt>
                <c:pt idx="5">
                  <c:v>1.9480519480519501E-2</c:v>
                </c:pt>
              </c:numCache>
            </c:numRef>
          </c:val>
          <c:extLst>
            <c:ext xmlns:c16="http://schemas.microsoft.com/office/drawing/2014/chart" uri="{C3380CC4-5D6E-409C-BE32-E72D297353CC}">
              <c16:uniqueId val="{0000000C-7242-4F54-9A25-DF92FFF77690}"/>
            </c:ext>
          </c:extLst>
        </c:ser>
        <c:dLbls>
          <c:showLegendKey val="0"/>
          <c:showVal val="0"/>
          <c:showCatName val="0"/>
          <c:showSerName val="0"/>
          <c:showPercent val="0"/>
          <c:showBubbleSize val="0"/>
          <c:showLeaderLines val="1"/>
        </c:dLbls>
        <c:firstSliceAng val="0"/>
      </c:pieChart>
      <c:spPr>
        <a:noFill/>
        <a:ln w="0">
          <a:noFill/>
        </a:ln>
      </c:spPr>
    </c:plotArea>
    <c:legend>
      <c:legendPos val="l"/>
      <c:layout>
        <c:manualLayout>
          <c:xMode val="edge"/>
          <c:yMode val="edge"/>
          <c:x val="7.5874999999999998E-2"/>
          <c:y val="0.28066666666666701"/>
          <c:w val="0.330708169260579"/>
          <c:h val="0.46871874652739198"/>
        </c:manualLayout>
      </c:layout>
      <c:overlay val="0"/>
      <c:spPr>
        <a:noFill/>
        <a:ln w="0">
          <a:noFill/>
        </a:ln>
      </c:spPr>
      <c:txPr>
        <a:bodyPr/>
        <a:lstStyle/>
        <a:p>
          <a:pPr>
            <a:defRPr sz="900" b="0" strike="noStrike" spc="-1">
              <a:solidFill>
                <a:srgbClr val="000000"/>
              </a:solidFill>
              <a:latin typeface="Cambria"/>
            </a:defRPr>
          </a:pPr>
          <a:endParaRPr lang="en-US"/>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a:solidFill>
                  <a:sysClr val="windowText" lastClr="000000"/>
                </a:solidFill>
                <a:latin typeface="+mj-lt"/>
              </a:rPr>
              <a:t>ETHNICITY</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'Data Analysis - Ethnicity'!$O$3</c:f>
              <c:strCache>
                <c:ptCount val="1"/>
                <c:pt idx="0">
                  <c:v>Percentage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 Analysis - Ethnicity'!$N$4:$N$11</c:f>
              <c:strCache>
                <c:ptCount val="8"/>
                <c:pt idx="0">
                  <c:v>White-British</c:v>
                </c:pt>
                <c:pt idx="1">
                  <c:v>Not available </c:v>
                </c:pt>
                <c:pt idx="2">
                  <c:v>Asian or Asian British - Pakistani</c:v>
                </c:pt>
                <c:pt idx="3">
                  <c:v>Asian or Asian British - Indian</c:v>
                </c:pt>
                <c:pt idx="4">
                  <c:v>Any Other Ethnic Group</c:v>
                </c:pt>
                <c:pt idx="5">
                  <c:v>Mixed-Other</c:v>
                </c:pt>
                <c:pt idx="6">
                  <c:v>Mixed-White and Asian</c:v>
                </c:pt>
                <c:pt idx="7">
                  <c:v>Any Other Ethnic Group</c:v>
                </c:pt>
              </c:strCache>
            </c:strRef>
          </c:cat>
          <c:val>
            <c:numRef>
              <c:f>'Data Analysis - Ethnicity'!$O$4:$O$11</c:f>
              <c:numCache>
                <c:formatCode>0%</c:formatCode>
                <c:ptCount val="8"/>
                <c:pt idx="0">
                  <c:v>0.5461538461538461</c:v>
                </c:pt>
                <c:pt idx="1">
                  <c:v>0.4</c:v>
                </c:pt>
                <c:pt idx="2">
                  <c:v>1.5384615384615385E-2</c:v>
                </c:pt>
                <c:pt idx="3">
                  <c:v>7.6923076923076927E-3</c:v>
                </c:pt>
                <c:pt idx="4">
                  <c:v>7.6923076923076927E-3</c:v>
                </c:pt>
                <c:pt idx="5">
                  <c:v>7.6923076923076927E-3</c:v>
                </c:pt>
                <c:pt idx="6">
                  <c:v>7.6923076923076927E-3</c:v>
                </c:pt>
                <c:pt idx="7">
                  <c:v>7.6923076923076927E-3</c:v>
                </c:pt>
              </c:numCache>
            </c:numRef>
          </c:val>
          <c:extLst>
            <c:ext xmlns:c16="http://schemas.microsoft.com/office/drawing/2014/chart" uri="{C3380CC4-5D6E-409C-BE32-E72D297353CC}">
              <c16:uniqueId val="{00000000-99D2-4034-A7F7-3B0E0306C853}"/>
            </c:ext>
          </c:extLst>
        </c:ser>
        <c:dLbls>
          <c:dLblPos val="inEnd"/>
          <c:showLegendKey val="0"/>
          <c:showVal val="1"/>
          <c:showCatName val="0"/>
          <c:showSerName val="0"/>
          <c:showPercent val="0"/>
          <c:showBubbleSize val="0"/>
        </c:dLbls>
        <c:gapWidth val="182"/>
        <c:axId val="632787048"/>
        <c:axId val="632787376"/>
      </c:barChart>
      <c:catAx>
        <c:axId val="632787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787376"/>
        <c:crosses val="autoZero"/>
        <c:auto val="1"/>
        <c:lblAlgn val="ctr"/>
        <c:lblOffset val="100"/>
        <c:noMultiLvlLbl val="0"/>
      </c:catAx>
      <c:valAx>
        <c:axId val="63278737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787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strike="noStrike" spc="-1">
                <a:solidFill>
                  <a:srgbClr val="000000"/>
                </a:solidFill>
                <a:latin typeface="Cambria"/>
              </a:defRPr>
            </a:pPr>
            <a:r>
              <a:rPr lang="en-GB" sz="1200" b="1" strike="noStrike" spc="-1">
                <a:solidFill>
                  <a:srgbClr val="000000"/>
                </a:solidFill>
                <a:latin typeface="Calibri" panose="020F0502020204030204" pitchFamily="34" charset="0"/>
                <a:cs typeface="Calibri" panose="020F0502020204030204" pitchFamily="34" charset="0"/>
              </a:rPr>
              <a:t>MANDATORY TRAINING OVERVIEW</a:t>
            </a:r>
          </a:p>
        </c:rich>
      </c:tx>
      <c:layout/>
      <c:overlay val="0"/>
      <c:spPr>
        <a:noFill/>
        <a:ln w="0">
          <a:noFill/>
        </a:ln>
      </c:spPr>
    </c:title>
    <c:autoTitleDeleted val="0"/>
    <c:plotArea>
      <c:layout/>
      <c:barChart>
        <c:barDir val="col"/>
        <c:grouping val="clustered"/>
        <c:varyColors val="0"/>
        <c:ser>
          <c:idx val="0"/>
          <c:order val="0"/>
          <c:tx>
            <c:strRef>
              <c:f>label 0</c:f>
              <c:strCache>
                <c:ptCount val="1"/>
                <c:pt idx="0">
                  <c:v>Series1</c:v>
                </c:pt>
              </c:strCache>
            </c:strRef>
          </c:tx>
          <c:spPr>
            <a:solidFill>
              <a:srgbClr val="8064A2"/>
            </a:solidFill>
            <a:ln w="0">
              <a:noFill/>
            </a:ln>
          </c:spPr>
          <c:invertIfNegative val="0"/>
          <c:dLbls>
            <c:numFmt formatCode="0.0%" sourceLinked="0"/>
            <c:spPr>
              <a:noFill/>
              <a:ln>
                <a:noFill/>
              </a:ln>
              <a:effectLst/>
            </c:spPr>
            <c:txPr>
              <a:bodyPr wrap="square"/>
              <a:lstStyle/>
              <a:p>
                <a:pPr>
                  <a:defRPr sz="1000" b="1" strike="noStrike" spc="-1">
                    <a:solidFill>
                      <a:srgbClr val="000000"/>
                    </a:solidFill>
                    <a:latin typeface="Cambria"/>
                  </a:defRPr>
                </a:pPr>
                <a:endParaRPr lang="en-US"/>
              </a:p>
            </c:txPr>
            <c:dLblPos val="inEnd"/>
            <c:showLegendKey val="0"/>
            <c:showVal val="1"/>
            <c:showCatName val="0"/>
            <c:showSerName val="0"/>
            <c:showPercent val="0"/>
            <c:showBubbleSize val="1"/>
            <c:separator>; </c:separator>
            <c:showLeaderLines val="0"/>
            <c:extLst>
              <c:ext xmlns:c15="http://schemas.microsoft.com/office/drawing/2012/chart" uri="{CE6537A1-D6FC-4f65-9D91-7224C49458BB}">
                <c15:layout/>
                <c15:showLeaderLines val="1"/>
              </c:ext>
            </c:extLst>
          </c:dLbls>
          <c:trendline>
            <c:spPr>
              <a:ln w="19080" cap="rnd">
                <a:solidFill>
                  <a:srgbClr val="8064A2"/>
                </a:solidFill>
                <a:prstDash val="sysDot"/>
                <a:round/>
              </a:ln>
            </c:spPr>
            <c:trendlineType val="linear"/>
            <c:dispRSqr val="0"/>
            <c:dispEq val="0"/>
          </c:trendline>
          <c:cat>
            <c:strRef>
              <c:f>categories</c:f>
              <c:strCache>
                <c:ptCount val="4"/>
                <c:pt idx="0">
                  <c:v>Q1 </c:v>
                </c:pt>
                <c:pt idx="1">
                  <c:v>Q2</c:v>
                </c:pt>
                <c:pt idx="2">
                  <c:v>Q3</c:v>
                </c:pt>
                <c:pt idx="3">
                  <c:v>Q4</c:v>
                </c:pt>
              </c:strCache>
            </c:strRef>
          </c:cat>
          <c:val>
            <c:numRef>
              <c:f>0</c:f>
              <c:numCache>
                <c:formatCode>General</c:formatCode>
                <c:ptCount val="4"/>
                <c:pt idx="0">
                  <c:v>0.97966666666666702</c:v>
                </c:pt>
                <c:pt idx="1">
                  <c:v>0.97599999999999998</c:v>
                </c:pt>
                <c:pt idx="2">
                  <c:v>0.91566666666666696</c:v>
                </c:pt>
                <c:pt idx="3">
                  <c:v>0.917333333333333</c:v>
                </c:pt>
              </c:numCache>
            </c:numRef>
          </c:val>
          <c:extLst>
            <c:ext xmlns:c16="http://schemas.microsoft.com/office/drawing/2014/chart" uri="{C3380CC4-5D6E-409C-BE32-E72D297353CC}">
              <c16:uniqueId val="{00000000-FD81-487B-9A7F-63F20EF70247}"/>
            </c:ext>
          </c:extLst>
        </c:ser>
        <c:dLbls>
          <c:showLegendKey val="0"/>
          <c:showVal val="0"/>
          <c:showCatName val="0"/>
          <c:showSerName val="0"/>
          <c:showPercent val="0"/>
          <c:showBubbleSize val="0"/>
        </c:dLbls>
        <c:gapWidth val="219"/>
        <c:overlap val="-27"/>
        <c:axId val="13288068"/>
        <c:axId val="62180380"/>
      </c:barChart>
      <c:catAx>
        <c:axId val="13288068"/>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1000" b="1" strike="noStrike" spc="-1">
                <a:solidFill>
                  <a:srgbClr val="000000"/>
                </a:solidFill>
                <a:latin typeface="Cambria"/>
              </a:defRPr>
            </a:pPr>
            <a:endParaRPr lang="en-US"/>
          </a:p>
        </c:txPr>
        <c:crossAx val="62180380"/>
        <c:crosses val="autoZero"/>
        <c:auto val="1"/>
        <c:lblAlgn val="ctr"/>
        <c:lblOffset val="100"/>
        <c:noMultiLvlLbl val="0"/>
      </c:catAx>
      <c:valAx>
        <c:axId val="62180380"/>
        <c:scaling>
          <c:orientation val="minMax"/>
          <c:max val="1"/>
          <c:min val="0.1"/>
        </c:scaling>
        <c:delete val="0"/>
        <c:axPos val="l"/>
        <c:majorGridlines>
          <c:spPr>
            <a:ln w="9360">
              <a:solidFill>
                <a:srgbClr val="D9D9D9"/>
              </a:solidFill>
              <a:round/>
            </a:ln>
          </c:spPr>
        </c:majorGridlines>
        <c:title>
          <c:tx>
            <c:rich>
              <a:bodyPr rot="-5400000"/>
              <a:lstStyle/>
              <a:p>
                <a:pPr>
                  <a:defRPr lang="en-GB" sz="1000" b="0" strike="noStrike" spc="-1">
                    <a:solidFill>
                      <a:srgbClr val="000000"/>
                    </a:solidFill>
                    <a:latin typeface="Cambria"/>
                  </a:defRPr>
                </a:pPr>
                <a:r>
                  <a:rPr lang="en-GB" sz="1000" b="0" strike="noStrike" spc="-1">
                    <a:solidFill>
                      <a:srgbClr val="000000"/>
                    </a:solidFill>
                    <a:latin typeface="Cambria"/>
                  </a:rPr>
                  <a:t>Average completion rate</a:t>
                </a:r>
              </a:p>
            </c:rich>
          </c:tx>
          <c:layout/>
          <c:overlay val="0"/>
          <c:spPr>
            <a:noFill/>
            <a:ln w="0">
              <a:noFill/>
            </a:ln>
          </c:spPr>
        </c:title>
        <c:numFmt formatCode="0%" sourceLinked="0"/>
        <c:majorTickMark val="none"/>
        <c:minorTickMark val="none"/>
        <c:tickLblPos val="nextTo"/>
        <c:spPr>
          <a:ln w="9360">
            <a:noFill/>
          </a:ln>
        </c:spPr>
        <c:txPr>
          <a:bodyPr/>
          <a:lstStyle/>
          <a:p>
            <a:pPr>
              <a:defRPr sz="900" b="0" strike="noStrike" spc="-1">
                <a:solidFill>
                  <a:srgbClr val="595959"/>
                </a:solidFill>
                <a:latin typeface="Cambria"/>
              </a:defRPr>
            </a:pPr>
            <a:endParaRPr lang="en-US"/>
          </a:p>
        </c:txPr>
        <c:crossAx val="13288068"/>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200" b="1" strike="noStrike" spc="-1">
                <a:solidFill>
                  <a:srgbClr val="000000"/>
                </a:solidFill>
                <a:latin typeface="Cambria"/>
              </a:defRPr>
            </a:pPr>
            <a:r>
              <a:rPr lang="en-GB" sz="1200" b="1" strike="noStrike" spc="-1">
                <a:solidFill>
                  <a:srgbClr val="000000"/>
                </a:solidFill>
                <a:latin typeface="Calibri" panose="020F0502020204030204" pitchFamily="34" charset="0"/>
                <a:cs typeface="Calibri" panose="020F0502020204030204" pitchFamily="34" charset="0"/>
              </a:rPr>
              <a:t>INTERNAL INCIDENT REPORT</a:t>
            </a:r>
          </a:p>
        </c:rich>
      </c:tx>
      <c:layout>
        <c:manualLayout>
          <c:xMode val="edge"/>
          <c:yMode val="edge"/>
          <c:x val="0.23017356475300399"/>
          <c:y val="3.54947756607253E-2"/>
        </c:manualLayout>
      </c:layout>
      <c:overlay val="0"/>
      <c:spPr>
        <a:noFill/>
        <a:ln w="0">
          <a:noFill/>
        </a:ln>
      </c:spPr>
    </c:title>
    <c:autoTitleDeleted val="0"/>
    <c:plotArea>
      <c:layout>
        <c:manualLayout>
          <c:layoutTarget val="inner"/>
          <c:xMode val="edge"/>
          <c:yMode val="edge"/>
          <c:x val="0.1161875"/>
          <c:y val="0.226888888888889"/>
          <c:w val="0.83456249999999998"/>
          <c:h val="0.65740048815554109"/>
        </c:manualLayout>
      </c:layout>
      <c:lineChart>
        <c:grouping val="standard"/>
        <c:varyColors val="0"/>
        <c:ser>
          <c:idx val="0"/>
          <c:order val="0"/>
          <c:tx>
            <c:strRef>
              <c:f>label 0</c:f>
              <c:strCache>
                <c:ptCount val="1"/>
                <c:pt idx="0">
                  <c:v>Series1</c:v>
                </c:pt>
              </c:strCache>
            </c:strRef>
          </c:tx>
          <c:spPr>
            <a:ln w="34920" cap="rnd">
              <a:solidFill>
                <a:srgbClr val="8064A2"/>
              </a:solidFill>
              <a:round/>
            </a:ln>
          </c:spPr>
          <c:marker>
            <c:symbol val="square"/>
            <c:size val="6"/>
            <c:spPr>
              <a:solidFill>
                <a:srgbClr val="8064A2"/>
              </a:solidFill>
            </c:spPr>
          </c:marker>
          <c:dPt>
            <c:idx val="1"/>
            <c:bubble3D val="0"/>
            <c:extLst>
              <c:ext xmlns:c16="http://schemas.microsoft.com/office/drawing/2014/chart" uri="{C3380CC4-5D6E-409C-BE32-E72D297353CC}">
                <c16:uniqueId val="{00000000-D3D1-4DBD-A4A3-ACC853ABDCBC}"/>
              </c:ext>
            </c:extLst>
          </c:dPt>
          <c:dLbls>
            <c:dLbl>
              <c:idx val="1"/>
              <c:layout/>
              <c:numFmt formatCode="General" sourceLinked="0"/>
              <c:spPr/>
              <c:txPr>
                <a:bodyPr wrap="square"/>
                <a:lstStyle/>
                <a:p>
                  <a:pPr>
                    <a:defRPr sz="1000" b="1" strike="noStrike" spc="-1">
                      <a:solidFill>
                        <a:srgbClr val="000000"/>
                      </a:solidFill>
                      <a:latin typeface="Cambria"/>
                    </a:defRPr>
                  </a:pPr>
                  <a:endParaRPr lang="en-US"/>
                </a:p>
              </c:txPr>
              <c:dLblPos val="t"/>
              <c:showLegendKey val="0"/>
              <c:showVal val="1"/>
              <c:showCatName val="0"/>
              <c:showSerName val="0"/>
              <c:showPercent val="0"/>
              <c:showBubbleSize val="1"/>
              <c:extLst>
                <c:ext xmlns:c15="http://schemas.microsoft.com/office/drawing/2012/chart" uri="{CE6537A1-D6FC-4f65-9D91-7224C49458BB}">
                  <c15:layout/>
                </c:ext>
                <c:ext xmlns:c16="http://schemas.microsoft.com/office/drawing/2014/chart" uri="{C3380CC4-5D6E-409C-BE32-E72D297353CC}">
                  <c16:uniqueId val="{00000000-D3D1-4DBD-A4A3-ACC853ABDCBC}"/>
                </c:ext>
              </c:extLst>
            </c:dLbl>
            <c:numFmt formatCode="General" sourceLinked="0"/>
            <c:spPr>
              <a:noFill/>
              <a:ln>
                <a:noFill/>
              </a:ln>
              <a:effectLst/>
            </c:spPr>
            <c:txPr>
              <a:bodyPr wrap="square"/>
              <a:lstStyle/>
              <a:p>
                <a:pPr>
                  <a:defRPr sz="1000" b="1" strike="noStrike" spc="-1">
                    <a:solidFill>
                      <a:srgbClr val="000000"/>
                    </a:solidFill>
                    <a:latin typeface="Cambria"/>
                  </a:defRPr>
                </a:pPr>
                <a:endParaRPr lang="en-US"/>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layout/>
                <c15:showLeaderLines val="1"/>
              </c:ext>
            </c:extLst>
          </c:dLbls>
          <c:trendline>
            <c:spPr>
              <a:ln w="19080" cap="rnd">
                <a:solidFill>
                  <a:srgbClr val="8064A2"/>
                </a:solidFill>
                <a:round/>
              </a:ln>
            </c:spPr>
            <c:trendlineType val="log"/>
            <c:dispRSqr val="0"/>
            <c:dispEq val="0"/>
          </c:trendline>
          <c:cat>
            <c:strRef>
              <c:f>categories</c:f>
              <c:strCache>
                <c:ptCount val="4"/>
                <c:pt idx="0">
                  <c:v>Q1</c:v>
                </c:pt>
                <c:pt idx="1">
                  <c:v>Q2</c:v>
                </c:pt>
                <c:pt idx="2">
                  <c:v>Q3</c:v>
                </c:pt>
                <c:pt idx="3">
                  <c:v>Q4</c:v>
                </c:pt>
              </c:strCache>
            </c:strRef>
          </c:cat>
          <c:val>
            <c:numRef>
              <c:f>0</c:f>
              <c:numCache>
                <c:formatCode>General</c:formatCode>
                <c:ptCount val="4"/>
                <c:pt idx="0">
                  <c:v>120</c:v>
                </c:pt>
                <c:pt idx="1">
                  <c:v>106</c:v>
                </c:pt>
                <c:pt idx="2">
                  <c:v>109</c:v>
                </c:pt>
                <c:pt idx="3">
                  <c:v>105</c:v>
                </c:pt>
              </c:numCache>
            </c:numRef>
          </c:val>
          <c:smooth val="0"/>
          <c:extLst>
            <c:ext xmlns:c16="http://schemas.microsoft.com/office/drawing/2014/chart" uri="{C3380CC4-5D6E-409C-BE32-E72D297353CC}">
              <c16:uniqueId val="{00000001-D3D1-4DBD-A4A3-ACC853ABDCBC}"/>
            </c:ext>
          </c:extLst>
        </c:ser>
        <c:dLbls>
          <c:showLegendKey val="0"/>
          <c:showVal val="0"/>
          <c:showCatName val="0"/>
          <c:showSerName val="0"/>
          <c:showPercent val="0"/>
          <c:showBubbleSize val="0"/>
        </c:dLbls>
        <c:hiLowLines>
          <c:spPr>
            <a:ln w="0">
              <a:noFill/>
            </a:ln>
          </c:spPr>
        </c:hiLowLines>
        <c:marker val="1"/>
        <c:smooth val="0"/>
        <c:axId val="32422870"/>
        <c:axId val="75862207"/>
      </c:lineChart>
      <c:catAx>
        <c:axId val="32422870"/>
        <c:scaling>
          <c:orientation val="minMax"/>
        </c:scaling>
        <c:delete val="0"/>
        <c:axPos val="b"/>
        <c:numFmt formatCode="General" sourceLinked="0"/>
        <c:majorTickMark val="none"/>
        <c:minorTickMark val="none"/>
        <c:tickLblPos val="nextTo"/>
        <c:spPr>
          <a:ln w="12600">
            <a:solidFill>
              <a:srgbClr val="D9D9D9"/>
            </a:solidFill>
            <a:round/>
          </a:ln>
        </c:spPr>
        <c:txPr>
          <a:bodyPr/>
          <a:lstStyle/>
          <a:p>
            <a:pPr>
              <a:defRPr sz="900" b="1" strike="noStrike" spc="-1">
                <a:solidFill>
                  <a:srgbClr val="000000"/>
                </a:solidFill>
                <a:latin typeface="Cambria"/>
              </a:defRPr>
            </a:pPr>
            <a:endParaRPr lang="en-US"/>
          </a:p>
        </c:txPr>
        <c:crossAx val="75862207"/>
        <c:crosses val="autoZero"/>
        <c:auto val="1"/>
        <c:lblAlgn val="ctr"/>
        <c:lblOffset val="100"/>
        <c:noMultiLvlLbl val="0"/>
      </c:catAx>
      <c:valAx>
        <c:axId val="75862207"/>
        <c:scaling>
          <c:orientation val="minMax"/>
        </c:scaling>
        <c:delete val="0"/>
        <c:axPos val="l"/>
        <c:majorGridlines>
          <c:spPr>
            <a:ln w="9360">
              <a:solidFill>
                <a:srgbClr val="D9D9D9"/>
              </a:solidFill>
              <a:round/>
            </a:ln>
          </c:spPr>
        </c:majorGridlines>
        <c:title>
          <c:tx>
            <c:rich>
              <a:bodyPr rot="-5400000"/>
              <a:lstStyle/>
              <a:p>
                <a:pPr>
                  <a:defRPr lang="en-GB" sz="950" b="0" strike="noStrike" spc="-1">
                    <a:solidFill>
                      <a:srgbClr val="000000"/>
                    </a:solidFill>
                    <a:latin typeface="Cambria"/>
                  </a:defRPr>
                </a:pPr>
                <a:r>
                  <a:rPr lang="en-GB" sz="950" b="0" strike="noStrike" spc="-1">
                    <a:solidFill>
                      <a:srgbClr val="000000"/>
                    </a:solidFill>
                    <a:latin typeface="Cambria"/>
                  </a:rPr>
                  <a:t>N.  of Internal Incidents</a:t>
                </a:r>
              </a:p>
            </c:rich>
          </c:tx>
          <c:layout/>
          <c:overlay val="0"/>
          <c:spPr>
            <a:noFill/>
            <a:ln w="0">
              <a:noFill/>
            </a:ln>
          </c:spPr>
        </c:title>
        <c:numFmt formatCode="General" sourceLinked="0"/>
        <c:majorTickMark val="none"/>
        <c:minorTickMark val="none"/>
        <c:tickLblPos val="nextTo"/>
        <c:spPr>
          <a:ln w="9360">
            <a:noFill/>
          </a:ln>
        </c:spPr>
        <c:txPr>
          <a:bodyPr/>
          <a:lstStyle/>
          <a:p>
            <a:pPr>
              <a:defRPr sz="900" b="0" strike="noStrike" spc="-1">
                <a:solidFill>
                  <a:srgbClr val="595959"/>
                </a:solidFill>
                <a:latin typeface="Cambria"/>
              </a:defRPr>
            </a:pPr>
            <a:endParaRPr lang="en-US"/>
          </a:p>
        </c:txPr>
        <c:crossAx val="32422870"/>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400" b="1" u="sng" strike="noStrike" spc="-1">
                <a:solidFill>
                  <a:srgbClr val="000000"/>
                </a:solidFill>
                <a:uFillTx/>
                <a:latin typeface="Cambria"/>
              </a:defRPr>
            </a:pPr>
            <a:r>
              <a:rPr lang="en-GB" sz="1400" b="1" u="sng" strike="noStrike" spc="-1">
                <a:solidFill>
                  <a:srgbClr val="000000"/>
                </a:solidFill>
                <a:uFillTx/>
                <a:latin typeface="Cambria"/>
              </a:rPr>
              <a:t>INPATIENT FALLS </a:t>
            </a:r>
          </a:p>
        </c:rich>
      </c:tx>
      <c:layout>
        <c:manualLayout>
          <c:xMode val="edge"/>
          <c:yMode val="edge"/>
          <c:x val="0.2841353531943438"/>
          <c:y val="9.524757655807579E-4"/>
        </c:manualLayout>
      </c:layout>
      <c:overlay val="0"/>
      <c:spPr>
        <a:noFill/>
        <a:ln w="0">
          <a:noFill/>
        </a:ln>
      </c:spPr>
    </c:title>
    <c:autoTitleDeleted val="0"/>
    <c:plotArea>
      <c:layout>
        <c:manualLayout>
          <c:layoutTarget val="inner"/>
          <c:xMode val="edge"/>
          <c:yMode val="edge"/>
          <c:x val="0.4596479034067778"/>
          <c:y val="0.19292658250120967"/>
          <c:w val="0.3689346523992193"/>
          <c:h val="0.77420953077719146"/>
        </c:manualLayout>
      </c:layout>
      <c:pieChart>
        <c:varyColors val="1"/>
        <c:ser>
          <c:idx val="0"/>
          <c:order val="0"/>
          <c:tx>
            <c:strRef>
              <c:f>label 0</c:f>
              <c:strCache>
                <c:ptCount val="1"/>
                <c:pt idx="0">
                  <c:v>Series1</c:v>
                </c:pt>
              </c:strCache>
            </c:strRef>
          </c:tx>
          <c:spPr>
            <a:solidFill>
              <a:srgbClr val="4F81BD"/>
            </a:solidFill>
            <a:ln w="0">
              <a:noFill/>
            </a:ln>
          </c:spPr>
          <c:dPt>
            <c:idx val="0"/>
            <c:bubble3D val="0"/>
            <c:spPr>
              <a:solidFill>
                <a:srgbClr val="D311BC"/>
              </a:solidFill>
              <a:ln w="19080">
                <a:solidFill>
                  <a:srgbClr val="FFFFFF"/>
                </a:solidFill>
                <a:round/>
              </a:ln>
            </c:spPr>
            <c:extLst>
              <c:ext xmlns:c16="http://schemas.microsoft.com/office/drawing/2014/chart" uri="{C3380CC4-5D6E-409C-BE32-E72D297353CC}">
                <c16:uniqueId val="{00000001-B215-48E4-9E8C-1FB4BA5B562B}"/>
              </c:ext>
            </c:extLst>
          </c:dPt>
          <c:dPt>
            <c:idx val="1"/>
            <c:bubble3D val="0"/>
            <c:spPr>
              <a:solidFill>
                <a:srgbClr val="7030A0"/>
              </a:solidFill>
              <a:ln w="19080">
                <a:solidFill>
                  <a:srgbClr val="FFFFFF"/>
                </a:solidFill>
                <a:round/>
              </a:ln>
            </c:spPr>
            <c:extLst>
              <c:ext xmlns:c16="http://schemas.microsoft.com/office/drawing/2014/chart" uri="{C3380CC4-5D6E-409C-BE32-E72D297353CC}">
                <c16:uniqueId val="{00000003-B215-48E4-9E8C-1FB4BA5B562B}"/>
              </c:ext>
            </c:extLst>
          </c:dPt>
          <c:dPt>
            <c:idx val="2"/>
            <c:bubble3D val="0"/>
            <c:spPr>
              <a:solidFill>
                <a:srgbClr val="AB598E"/>
              </a:solidFill>
              <a:ln w="19080">
                <a:solidFill>
                  <a:srgbClr val="FFFFFF"/>
                </a:solidFill>
                <a:round/>
              </a:ln>
            </c:spPr>
            <c:extLst>
              <c:ext xmlns:c16="http://schemas.microsoft.com/office/drawing/2014/chart" uri="{C3380CC4-5D6E-409C-BE32-E72D297353CC}">
                <c16:uniqueId val="{00000005-B215-48E4-9E8C-1FB4BA5B562B}"/>
              </c:ext>
            </c:extLst>
          </c:dPt>
          <c:dPt>
            <c:idx val="3"/>
            <c:bubble3D val="0"/>
            <c:spPr>
              <a:solidFill>
                <a:srgbClr val="93A9CE"/>
              </a:solidFill>
              <a:ln w="19080">
                <a:solidFill>
                  <a:srgbClr val="FFFFFF"/>
                </a:solidFill>
                <a:round/>
              </a:ln>
            </c:spPr>
            <c:extLst>
              <c:ext xmlns:c16="http://schemas.microsoft.com/office/drawing/2014/chart" uri="{C3380CC4-5D6E-409C-BE32-E72D297353CC}">
                <c16:uniqueId val="{00000007-B215-48E4-9E8C-1FB4BA5B562B}"/>
              </c:ext>
            </c:extLst>
          </c:dPt>
          <c:dPt>
            <c:idx val="4"/>
            <c:bubble3D val="0"/>
            <c:spPr>
              <a:solidFill>
                <a:srgbClr val="BCC8DE"/>
              </a:solidFill>
              <a:ln w="19080">
                <a:solidFill>
                  <a:srgbClr val="FFFFFF"/>
                </a:solidFill>
                <a:round/>
              </a:ln>
            </c:spPr>
            <c:extLst>
              <c:ext xmlns:c16="http://schemas.microsoft.com/office/drawing/2014/chart" uri="{C3380CC4-5D6E-409C-BE32-E72D297353CC}">
                <c16:uniqueId val="{00000009-B215-48E4-9E8C-1FB4BA5B562B}"/>
              </c:ext>
            </c:extLst>
          </c:dPt>
          <c:dLbls>
            <c:dLbl>
              <c:idx val="0"/>
              <c:layout/>
              <c:spPr/>
              <c:txPr>
                <a:bodyPr wrap="square"/>
                <a:lstStyle/>
                <a:p>
                  <a:pPr>
                    <a:defRPr sz="1100" b="1" u="sng" strike="noStrike" spc="-1">
                      <a:solidFill>
                        <a:srgbClr val="FFFFFF"/>
                      </a:solidFill>
                      <a:uFillTx/>
                      <a:latin typeface="Cambria"/>
                    </a:defRPr>
                  </a:pPr>
                  <a:endParaRPr lang="en-US"/>
                </a:p>
              </c:txPr>
              <c:dLblPos val="ctr"/>
              <c:showLegendKey val="0"/>
              <c:showVal val="0"/>
              <c:showCatName val="0"/>
              <c:showSerName val="0"/>
              <c:showPercent val="1"/>
              <c:showBubbleSize val="1"/>
              <c:extLst>
                <c:ext xmlns:c15="http://schemas.microsoft.com/office/drawing/2012/chart" uri="{CE6537A1-D6FC-4f65-9D91-7224C49458BB}">
                  <c15:layout/>
                </c:ext>
                <c:ext xmlns:c16="http://schemas.microsoft.com/office/drawing/2014/chart" uri="{C3380CC4-5D6E-409C-BE32-E72D297353CC}">
                  <c16:uniqueId val="{00000001-B215-48E4-9E8C-1FB4BA5B562B}"/>
                </c:ext>
              </c:extLst>
            </c:dLbl>
            <c:dLbl>
              <c:idx val="1"/>
              <c:layout/>
              <c:spPr/>
              <c:txPr>
                <a:bodyPr wrap="square"/>
                <a:lstStyle/>
                <a:p>
                  <a:pPr>
                    <a:defRPr sz="1100" b="1" u="sng" strike="noStrike" spc="-1">
                      <a:solidFill>
                        <a:srgbClr val="FFFFFF"/>
                      </a:solidFill>
                      <a:uFillTx/>
                      <a:latin typeface="Cambria"/>
                    </a:defRPr>
                  </a:pPr>
                  <a:endParaRPr lang="en-US"/>
                </a:p>
              </c:txPr>
              <c:dLblPos val="ctr"/>
              <c:showLegendKey val="0"/>
              <c:showVal val="0"/>
              <c:showCatName val="0"/>
              <c:showSerName val="0"/>
              <c:showPercent val="1"/>
              <c:showBubbleSize val="1"/>
              <c:extLst>
                <c:ext xmlns:c15="http://schemas.microsoft.com/office/drawing/2012/chart" uri="{CE6537A1-D6FC-4f65-9D91-7224C49458BB}">
                  <c15:layout/>
                </c:ext>
                <c:ext xmlns:c16="http://schemas.microsoft.com/office/drawing/2014/chart" uri="{C3380CC4-5D6E-409C-BE32-E72D297353CC}">
                  <c16:uniqueId val="{00000003-B215-48E4-9E8C-1FB4BA5B562B}"/>
                </c:ext>
              </c:extLst>
            </c:dLbl>
            <c:dLbl>
              <c:idx val="2"/>
              <c:layout>
                <c:manualLayout>
                  <c:x val="9.5278128065013318E-2"/>
                  <c:y val="5.8806233460746843E-3"/>
                </c:manualLayout>
              </c:layout>
              <c:spPr/>
              <c:txPr>
                <a:bodyPr wrap="square"/>
                <a:lstStyle/>
                <a:p>
                  <a:pPr>
                    <a:defRPr sz="1100" b="1" u="sng" strike="noStrike" spc="-1">
                      <a:solidFill>
                        <a:srgbClr val="000000"/>
                      </a:solidFill>
                      <a:uFillTx/>
                      <a:latin typeface="Cambria"/>
                    </a:defRPr>
                  </a:pPr>
                  <a:endParaRPr lang="en-US"/>
                </a:p>
              </c:txPr>
              <c:dLblPos val="bestFit"/>
              <c:showLegendKey val="0"/>
              <c:showVal val="0"/>
              <c:showCatName val="0"/>
              <c:showSerName val="0"/>
              <c:showPercent val="1"/>
              <c:showBubbleSize val="1"/>
              <c:separator>
</c:separator>
              <c:extLst>
                <c:ext xmlns:c15="http://schemas.microsoft.com/office/drawing/2012/chart" uri="{CE6537A1-D6FC-4f65-9D91-7224C49458BB}">
                  <c15:layout/>
                </c:ext>
                <c:ext xmlns:c16="http://schemas.microsoft.com/office/drawing/2014/chart" uri="{C3380CC4-5D6E-409C-BE32-E72D297353CC}">
                  <c16:uniqueId val="{00000005-B215-48E4-9E8C-1FB4BA5B562B}"/>
                </c:ext>
              </c:extLst>
            </c:dLbl>
            <c:dLbl>
              <c:idx val="3"/>
              <c:spPr/>
              <c:txPr>
                <a:bodyPr wrap="square"/>
                <a:lstStyle/>
                <a:p>
                  <a:pPr>
                    <a:defRPr sz="1100" b="1" u="sng" strike="noStrike" spc="-1">
                      <a:solidFill>
                        <a:srgbClr val="FFFFFF"/>
                      </a:solidFill>
                      <a:uFillTx/>
                      <a:latin typeface="Cambria"/>
                    </a:defRPr>
                  </a:pPr>
                  <a:endParaRPr lang="en-US"/>
                </a:p>
              </c:txPr>
              <c:dLblPos val="ct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B215-48E4-9E8C-1FB4BA5B562B}"/>
                </c:ext>
              </c:extLst>
            </c:dLbl>
            <c:dLbl>
              <c:idx val="4"/>
              <c:spPr/>
              <c:txPr>
                <a:bodyPr wrap="square"/>
                <a:lstStyle/>
                <a:p>
                  <a:pPr>
                    <a:defRPr sz="1100" b="1" u="sng" strike="noStrike" spc="-1">
                      <a:solidFill>
                        <a:srgbClr val="FFFFFF"/>
                      </a:solidFill>
                      <a:uFillTx/>
                      <a:latin typeface="Cambria"/>
                    </a:defRPr>
                  </a:pPr>
                  <a:endParaRPr lang="en-US"/>
                </a:p>
              </c:txPr>
              <c:dLblPos val="ct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B215-48E4-9E8C-1FB4BA5B562B}"/>
                </c:ext>
              </c:extLst>
            </c:dLbl>
            <c:spPr>
              <a:noFill/>
              <a:ln>
                <a:noFill/>
              </a:ln>
              <a:effectLst/>
            </c:spPr>
            <c:txPr>
              <a:bodyPr wrap="square"/>
              <a:lstStyle/>
              <a:p>
                <a:pPr>
                  <a:defRPr sz="1100" b="1" u="sng" strike="noStrike" spc="-1">
                    <a:solidFill>
                      <a:srgbClr val="FFFFFF"/>
                    </a:solidFill>
                    <a:uFillTx/>
                    <a:latin typeface="Cambria"/>
                  </a:defRPr>
                </a:pPr>
                <a:endParaRPr lang="en-US"/>
              </a:p>
            </c:txPr>
            <c:dLblPos val="ctr"/>
            <c:showLegendKey val="0"/>
            <c:showVal val="0"/>
            <c:showCatName val="0"/>
            <c:showSerName val="0"/>
            <c:showPercent val="1"/>
            <c:showBubbleSize val="1"/>
            <c:separator>
</c:separator>
            <c:showLeaderLines val="1"/>
            <c:extLst>
              <c:ext xmlns:c15="http://schemas.microsoft.com/office/drawing/2012/chart" uri="{CE6537A1-D6FC-4f65-9D91-7224C49458BB}"/>
            </c:extLst>
          </c:dLbls>
          <c:cat>
            <c:strRef>
              <c:f>categories</c:f>
              <c:strCache>
                <c:ptCount val="5"/>
                <c:pt idx="0">
                  <c:v>No Harm</c:v>
                </c:pt>
                <c:pt idx="1">
                  <c:v>Low Harm</c:v>
                </c:pt>
                <c:pt idx="2">
                  <c:v>Moderate Harm</c:v>
                </c:pt>
                <c:pt idx="3">
                  <c:v>Severe Harm</c:v>
                </c:pt>
                <c:pt idx="4">
                  <c:v>Death</c:v>
                </c:pt>
              </c:strCache>
            </c:strRef>
          </c:cat>
          <c:val>
            <c:numRef>
              <c:f>0</c:f>
              <c:numCache>
                <c:formatCode>General</c:formatCode>
                <c:ptCount val="5"/>
                <c:pt idx="0">
                  <c:v>9</c:v>
                </c:pt>
                <c:pt idx="1">
                  <c:v>21</c:v>
                </c:pt>
                <c:pt idx="2">
                  <c:v>1</c:v>
                </c:pt>
                <c:pt idx="3">
                  <c:v>0</c:v>
                </c:pt>
                <c:pt idx="4">
                  <c:v>0</c:v>
                </c:pt>
              </c:numCache>
            </c:numRef>
          </c:val>
          <c:extLst>
            <c:ext xmlns:c16="http://schemas.microsoft.com/office/drawing/2014/chart" uri="{C3380CC4-5D6E-409C-BE32-E72D297353CC}">
              <c16:uniqueId val="{0000000A-B215-48E4-9E8C-1FB4BA5B562B}"/>
            </c:ext>
          </c:extLst>
        </c:ser>
        <c:dLbls>
          <c:showLegendKey val="0"/>
          <c:showVal val="0"/>
          <c:showCatName val="0"/>
          <c:showSerName val="0"/>
          <c:showPercent val="0"/>
          <c:showBubbleSize val="0"/>
          <c:showLeaderLines val="1"/>
        </c:dLbls>
        <c:firstSliceAng val="0"/>
      </c:pieChart>
      <c:spPr>
        <a:noFill/>
        <a:ln w="0">
          <a:noFill/>
        </a:ln>
      </c:spPr>
    </c:plotArea>
    <c:legend>
      <c:legendPos val="r"/>
      <c:layout>
        <c:manualLayout>
          <c:xMode val="edge"/>
          <c:yMode val="edge"/>
          <c:x val="0.11318613546572756"/>
          <c:y val="0.2112847772887548"/>
          <c:w val="0.23707749015610124"/>
          <c:h val="0.56465328631921596"/>
        </c:manualLayout>
      </c:layout>
      <c:overlay val="0"/>
      <c:spPr>
        <a:noFill/>
        <a:ln w="0">
          <a:noFill/>
        </a:ln>
      </c:spPr>
      <c:txPr>
        <a:bodyPr/>
        <a:lstStyle/>
        <a:p>
          <a:pPr>
            <a:defRPr sz="900" b="0" strike="noStrike" spc="-1">
              <a:solidFill>
                <a:srgbClr val="000000"/>
              </a:solidFill>
              <a:latin typeface="Cambria"/>
            </a:defRPr>
          </a:pPr>
          <a:endParaRPr lang="en-US"/>
        </a:p>
      </c:tx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GB" sz="1400" b="1" strike="noStrike" spc="-1">
                <a:solidFill>
                  <a:srgbClr val="000000"/>
                </a:solidFill>
                <a:latin typeface="Cambria"/>
              </a:defRPr>
            </a:pPr>
            <a:r>
              <a:rPr lang="en-GB" sz="1400" b="1" strike="noStrike" spc="-1">
                <a:solidFill>
                  <a:srgbClr val="000000"/>
                </a:solidFill>
                <a:latin typeface="Calibri" panose="020F0502020204030204" pitchFamily="34" charset="0"/>
                <a:cs typeface="Calibri" panose="020F0502020204030204" pitchFamily="34" charset="0"/>
              </a:rPr>
              <a:t>PRESSURE ULCER BY CATEGORY</a:t>
            </a:r>
          </a:p>
        </c:rich>
      </c:tx>
      <c:layout/>
      <c:overlay val="0"/>
      <c:spPr>
        <a:noFill/>
        <a:ln w="0">
          <a:noFill/>
        </a:ln>
      </c:spPr>
    </c:title>
    <c:autoTitleDeleted val="0"/>
    <c:plotArea>
      <c:layout>
        <c:manualLayout>
          <c:layoutTarget val="inner"/>
          <c:xMode val="edge"/>
          <c:yMode val="edge"/>
          <c:x val="0.20349999999999999"/>
          <c:y val="0.15566666666666701"/>
          <c:w val="0.67325000000000002"/>
          <c:h val="0.80533333333333301"/>
        </c:manualLayout>
      </c:layout>
      <c:barChart>
        <c:barDir val="bar"/>
        <c:grouping val="clustered"/>
        <c:varyColors val="0"/>
        <c:ser>
          <c:idx val="0"/>
          <c:order val="0"/>
          <c:tx>
            <c:strRef>
              <c:f>label 0</c:f>
              <c:strCache>
                <c:ptCount val="1"/>
                <c:pt idx="0">
                  <c:v>Series1</c:v>
                </c:pt>
              </c:strCache>
            </c:strRef>
          </c:tx>
          <c:spPr>
            <a:solidFill>
              <a:srgbClr val="4F81BD"/>
            </a:solidFill>
            <a:ln w="0">
              <a:noFill/>
            </a:ln>
          </c:spPr>
          <c:invertIfNegative val="0"/>
          <c:dPt>
            <c:idx val="0"/>
            <c:invertIfNegative val="0"/>
            <c:bubble3D val="0"/>
            <c:spPr>
              <a:solidFill>
                <a:srgbClr val="AB598E"/>
              </a:solidFill>
              <a:ln w="0">
                <a:noFill/>
              </a:ln>
            </c:spPr>
            <c:extLst>
              <c:ext xmlns:c16="http://schemas.microsoft.com/office/drawing/2014/chart" uri="{C3380CC4-5D6E-409C-BE32-E72D297353CC}">
                <c16:uniqueId val="{00000001-AF59-4DBA-95F5-DCA076C95D7B}"/>
              </c:ext>
            </c:extLst>
          </c:dPt>
          <c:dPt>
            <c:idx val="1"/>
            <c:invertIfNegative val="0"/>
            <c:bubble3D val="0"/>
            <c:spPr>
              <a:solidFill>
                <a:srgbClr val="AB598E"/>
              </a:solidFill>
              <a:ln w="0">
                <a:noFill/>
              </a:ln>
            </c:spPr>
            <c:extLst>
              <c:ext xmlns:c16="http://schemas.microsoft.com/office/drawing/2014/chart" uri="{C3380CC4-5D6E-409C-BE32-E72D297353CC}">
                <c16:uniqueId val="{00000003-AF59-4DBA-95F5-DCA076C95D7B}"/>
              </c:ext>
            </c:extLst>
          </c:dPt>
          <c:dPt>
            <c:idx val="2"/>
            <c:invertIfNegative val="0"/>
            <c:bubble3D val="0"/>
            <c:spPr>
              <a:solidFill>
                <a:srgbClr val="AB598E"/>
              </a:solidFill>
              <a:ln w="0">
                <a:noFill/>
              </a:ln>
            </c:spPr>
            <c:extLst>
              <c:ext xmlns:c16="http://schemas.microsoft.com/office/drawing/2014/chart" uri="{C3380CC4-5D6E-409C-BE32-E72D297353CC}">
                <c16:uniqueId val="{00000005-AF59-4DBA-95F5-DCA076C95D7B}"/>
              </c:ext>
            </c:extLst>
          </c:dPt>
          <c:dPt>
            <c:idx val="3"/>
            <c:invertIfNegative val="0"/>
            <c:bubble3D val="0"/>
            <c:spPr>
              <a:solidFill>
                <a:srgbClr val="AB598E"/>
              </a:solidFill>
              <a:ln w="0">
                <a:noFill/>
              </a:ln>
            </c:spPr>
            <c:extLst>
              <c:ext xmlns:c16="http://schemas.microsoft.com/office/drawing/2014/chart" uri="{C3380CC4-5D6E-409C-BE32-E72D297353CC}">
                <c16:uniqueId val="{00000007-AF59-4DBA-95F5-DCA076C95D7B}"/>
              </c:ext>
            </c:extLst>
          </c:dPt>
          <c:dPt>
            <c:idx val="4"/>
            <c:invertIfNegative val="0"/>
            <c:bubble3D val="0"/>
            <c:spPr>
              <a:solidFill>
                <a:srgbClr val="D2A8EA"/>
              </a:solidFill>
              <a:ln w="0">
                <a:noFill/>
              </a:ln>
            </c:spPr>
            <c:extLst>
              <c:ext xmlns:c16="http://schemas.microsoft.com/office/drawing/2014/chart" uri="{C3380CC4-5D6E-409C-BE32-E72D297353CC}">
                <c16:uniqueId val="{00000009-AF59-4DBA-95F5-DCA076C95D7B}"/>
              </c:ext>
            </c:extLst>
          </c:dPt>
          <c:dPt>
            <c:idx val="5"/>
            <c:invertIfNegative val="0"/>
            <c:bubble3D val="0"/>
            <c:spPr>
              <a:solidFill>
                <a:srgbClr val="D2A8EA"/>
              </a:solidFill>
              <a:ln w="0">
                <a:noFill/>
              </a:ln>
            </c:spPr>
            <c:extLst>
              <c:ext xmlns:c16="http://schemas.microsoft.com/office/drawing/2014/chart" uri="{C3380CC4-5D6E-409C-BE32-E72D297353CC}">
                <c16:uniqueId val="{0000000B-AF59-4DBA-95F5-DCA076C95D7B}"/>
              </c:ext>
            </c:extLst>
          </c:dPt>
          <c:dPt>
            <c:idx val="6"/>
            <c:invertIfNegative val="0"/>
            <c:bubble3D val="0"/>
            <c:spPr>
              <a:solidFill>
                <a:srgbClr val="D2A8EA"/>
              </a:solidFill>
              <a:ln w="0">
                <a:noFill/>
              </a:ln>
            </c:spPr>
            <c:extLst>
              <c:ext xmlns:c16="http://schemas.microsoft.com/office/drawing/2014/chart" uri="{C3380CC4-5D6E-409C-BE32-E72D297353CC}">
                <c16:uniqueId val="{0000000D-AF59-4DBA-95F5-DCA076C95D7B}"/>
              </c:ext>
            </c:extLst>
          </c:dPt>
          <c:dPt>
            <c:idx val="7"/>
            <c:invertIfNegative val="0"/>
            <c:bubble3D val="0"/>
            <c:spPr>
              <a:solidFill>
                <a:srgbClr val="D2A8EA"/>
              </a:solidFill>
              <a:ln w="0">
                <a:noFill/>
              </a:ln>
            </c:spPr>
            <c:extLst>
              <c:ext xmlns:c16="http://schemas.microsoft.com/office/drawing/2014/chart" uri="{C3380CC4-5D6E-409C-BE32-E72D297353CC}">
                <c16:uniqueId val="{0000000F-AF59-4DBA-95F5-DCA076C95D7B}"/>
              </c:ext>
            </c:extLst>
          </c:dPt>
          <c:dLbls>
            <c:dLbl>
              <c:idx val="0"/>
              <c:layout/>
              <c:tx>
                <c:rich>
                  <a:bodyPr/>
                  <a:lstStyle/>
                  <a:p>
                    <a:r>
                      <a:rPr lang="en-US" sz="900" b="1" strike="noStrike" spc="-1">
                        <a:solidFill>
                          <a:srgbClr val="000000"/>
                        </a:solidFill>
                        <a:latin typeface="Cambria"/>
                      </a:rPr>
                      <a:t>8</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1-AF59-4DBA-95F5-DCA076C95D7B}"/>
                </c:ext>
              </c:extLst>
            </c:dLbl>
            <c:dLbl>
              <c:idx val="1"/>
              <c:layout/>
              <c:tx>
                <c:rich>
                  <a:bodyPr/>
                  <a:lstStyle/>
                  <a:p>
                    <a:r>
                      <a:rPr lang="en-US" sz="900" b="1" strike="noStrike" spc="-1">
                        <a:solidFill>
                          <a:srgbClr val="000000"/>
                        </a:solidFill>
                        <a:latin typeface="Cambria"/>
                      </a:rPr>
                      <a:t>8</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3-AF59-4DBA-95F5-DCA076C95D7B}"/>
                </c:ext>
              </c:extLst>
            </c:dLbl>
            <c:dLbl>
              <c:idx val="2"/>
              <c:layout/>
              <c:tx>
                <c:rich>
                  <a:bodyPr/>
                  <a:lstStyle/>
                  <a:p>
                    <a:r>
                      <a:rPr lang="en-US" sz="900" b="1" strike="noStrike" spc="-1">
                        <a:solidFill>
                          <a:srgbClr val="000000"/>
                        </a:solidFill>
                        <a:latin typeface="Cambria"/>
                      </a:rPr>
                      <a:t>26</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5-AF59-4DBA-95F5-DCA076C95D7B}"/>
                </c:ext>
              </c:extLst>
            </c:dLbl>
            <c:dLbl>
              <c:idx val="3"/>
              <c:layout/>
              <c:tx>
                <c:rich>
                  <a:bodyPr/>
                  <a:lstStyle/>
                  <a:p>
                    <a:r>
                      <a:rPr lang="en-US" sz="900" b="1" strike="noStrike" spc="-1">
                        <a:solidFill>
                          <a:srgbClr val="000000"/>
                        </a:solidFill>
                        <a:latin typeface="Cambria"/>
                      </a:rPr>
                      <a:t>15</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layout/>
                </c:ext>
                <c:ext xmlns:c16="http://schemas.microsoft.com/office/drawing/2014/chart" uri="{C3380CC4-5D6E-409C-BE32-E72D297353CC}">
                  <c16:uniqueId val="{00000007-AF59-4DBA-95F5-DCA076C95D7B}"/>
                </c:ext>
              </c:extLst>
            </c:dLbl>
            <c:dLbl>
              <c:idx val="4"/>
              <c:layout/>
              <c:numFmt formatCode="General" sourceLinked="0"/>
              <c:spPr/>
              <c:txPr>
                <a:bodyPr wrap="square"/>
                <a:lstStyle/>
                <a:p>
                  <a:pPr>
                    <a:defRPr sz="900" b="1" strike="noStrike" spc="-1">
                      <a:solidFill>
                        <a:srgbClr val="00000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15:layout/>
                </c:ext>
                <c:ext xmlns:c16="http://schemas.microsoft.com/office/drawing/2014/chart" uri="{C3380CC4-5D6E-409C-BE32-E72D297353CC}">
                  <c16:uniqueId val="{00000009-AF59-4DBA-95F5-DCA076C95D7B}"/>
                </c:ext>
              </c:extLst>
            </c:dLbl>
            <c:dLbl>
              <c:idx val="5"/>
              <c:layout/>
              <c:numFmt formatCode="General" sourceLinked="0"/>
              <c:spPr/>
              <c:txPr>
                <a:bodyPr wrap="square"/>
                <a:lstStyle/>
                <a:p>
                  <a:pPr>
                    <a:defRPr sz="900" b="1" strike="noStrike" spc="-1">
                      <a:solidFill>
                        <a:srgbClr val="00000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15:layout/>
                </c:ext>
                <c:ext xmlns:c16="http://schemas.microsoft.com/office/drawing/2014/chart" uri="{C3380CC4-5D6E-409C-BE32-E72D297353CC}">
                  <c16:uniqueId val="{0000000B-AF59-4DBA-95F5-DCA076C95D7B}"/>
                </c:ext>
              </c:extLst>
            </c:dLbl>
            <c:dLbl>
              <c:idx val="6"/>
              <c:layout/>
              <c:numFmt formatCode="General" sourceLinked="0"/>
              <c:spPr/>
              <c:txPr>
                <a:bodyPr wrap="square"/>
                <a:lstStyle/>
                <a:p>
                  <a:pPr>
                    <a:defRPr sz="900" b="1" strike="noStrike" spc="-1">
                      <a:solidFill>
                        <a:srgbClr val="00000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15:layout/>
                </c:ext>
                <c:ext xmlns:c16="http://schemas.microsoft.com/office/drawing/2014/chart" uri="{C3380CC4-5D6E-409C-BE32-E72D297353CC}">
                  <c16:uniqueId val="{0000000D-AF59-4DBA-95F5-DCA076C95D7B}"/>
                </c:ext>
              </c:extLst>
            </c:dLbl>
            <c:dLbl>
              <c:idx val="7"/>
              <c:layout/>
              <c:numFmt formatCode="General" sourceLinked="0"/>
              <c:spPr/>
              <c:txPr>
                <a:bodyPr wrap="square"/>
                <a:lstStyle/>
                <a:p>
                  <a:pPr>
                    <a:defRPr sz="900" b="1" strike="noStrike" spc="-1">
                      <a:solidFill>
                        <a:srgbClr val="000000"/>
                      </a:solidFill>
                      <a:latin typeface="Cambria"/>
                    </a:defRPr>
                  </a:pPr>
                  <a:endParaRPr lang="en-US"/>
                </a:p>
              </c:txPr>
              <c:dLblPos val="outEnd"/>
              <c:showLegendKey val="0"/>
              <c:showVal val="1"/>
              <c:showCatName val="0"/>
              <c:showSerName val="0"/>
              <c:showPercent val="0"/>
              <c:showBubbleSize val="1"/>
              <c:extLst>
                <c:ext xmlns:c15="http://schemas.microsoft.com/office/drawing/2012/chart" uri="{CE6537A1-D6FC-4f65-9D91-7224C49458BB}">
                  <c15:layout/>
                </c:ext>
                <c:ext xmlns:c16="http://schemas.microsoft.com/office/drawing/2014/chart" uri="{C3380CC4-5D6E-409C-BE32-E72D297353CC}">
                  <c16:uniqueId val="{0000000F-AF59-4DBA-95F5-DCA076C95D7B}"/>
                </c:ext>
              </c:extLst>
            </c:dLbl>
            <c:numFmt formatCode="General" sourceLinked="0"/>
            <c:spPr>
              <a:noFill/>
              <a:ln>
                <a:noFill/>
              </a:ln>
              <a:effectLst/>
            </c:spPr>
            <c:txPr>
              <a:bodyPr wrap="square"/>
              <a:lstStyle/>
              <a:p>
                <a:pPr>
                  <a:defRPr sz="9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multiLvlStrRef>
              <c:f>categories</c:f>
              <c:multiLvlStrCache>
                <c:ptCount val="8"/>
                <c:lvl>
                  <c:pt idx="0">
                    <c:v>Category 4</c:v>
                  </c:pt>
                  <c:pt idx="1">
                    <c:v>Category 3</c:v>
                  </c:pt>
                  <c:pt idx="2">
                    <c:v>Category 2</c:v>
                  </c:pt>
                  <c:pt idx="3">
                    <c:v>Category 1</c:v>
                  </c:pt>
                  <c:pt idx="4">
                    <c:v>Category 4</c:v>
                  </c:pt>
                  <c:pt idx="5">
                    <c:v>Category 3</c:v>
                  </c:pt>
                  <c:pt idx="6">
                    <c:v>Category 2</c:v>
                  </c:pt>
                  <c:pt idx="7">
                    <c:v>Category 1</c:v>
                  </c:pt>
                </c:lvl>
                <c:lvl>
                  <c:pt idx="0">
                    <c:v>Pressure Ulcer - New</c:v>
                  </c:pt>
                  <c:pt idx="4">
                    <c:v>Pressure Ulcer - Found on admission</c:v>
                  </c:pt>
                </c:lvl>
              </c:multiLvlStrCache>
            </c:multiLvlStrRef>
          </c:cat>
          <c:val>
            <c:numRef>
              <c:f>0</c:f>
              <c:numCache>
                <c:formatCode>General</c:formatCode>
                <c:ptCount val="8"/>
                <c:pt idx="0">
                  <c:v>0</c:v>
                </c:pt>
                <c:pt idx="1">
                  <c:v>7</c:v>
                </c:pt>
                <c:pt idx="2">
                  <c:v>30</c:v>
                </c:pt>
                <c:pt idx="3">
                  <c:v>16</c:v>
                </c:pt>
                <c:pt idx="4">
                  <c:v>1</c:v>
                </c:pt>
                <c:pt idx="5">
                  <c:v>8</c:v>
                </c:pt>
                <c:pt idx="6">
                  <c:v>17</c:v>
                </c:pt>
                <c:pt idx="7">
                  <c:v>8</c:v>
                </c:pt>
              </c:numCache>
            </c:numRef>
          </c:val>
          <c:extLst>
            <c:ext xmlns:c16="http://schemas.microsoft.com/office/drawing/2014/chart" uri="{C3380CC4-5D6E-409C-BE32-E72D297353CC}">
              <c16:uniqueId val="{00000010-AF59-4DBA-95F5-DCA076C95D7B}"/>
            </c:ext>
          </c:extLst>
        </c:ser>
        <c:dLbls>
          <c:showLegendKey val="0"/>
          <c:showVal val="0"/>
          <c:showCatName val="0"/>
          <c:showSerName val="0"/>
          <c:showPercent val="0"/>
          <c:showBubbleSize val="0"/>
        </c:dLbls>
        <c:gapWidth val="182"/>
        <c:axId val="53921585"/>
        <c:axId val="50291287"/>
      </c:barChart>
      <c:catAx>
        <c:axId val="53921585"/>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mbria"/>
              </a:defRPr>
            </a:pPr>
            <a:endParaRPr lang="en-US"/>
          </a:p>
        </c:txPr>
        <c:crossAx val="50291287"/>
        <c:crosses val="autoZero"/>
        <c:auto val="1"/>
        <c:lblAlgn val="ctr"/>
        <c:lblOffset val="100"/>
        <c:noMultiLvlLbl val="0"/>
      </c:catAx>
      <c:valAx>
        <c:axId val="50291287"/>
        <c:scaling>
          <c:orientation val="minMax"/>
          <c:max val="30"/>
        </c:scaling>
        <c:delete val="1"/>
        <c:axPos val="b"/>
        <c:numFmt formatCode="General" sourceLinked="1"/>
        <c:majorTickMark val="none"/>
        <c:minorTickMark val="none"/>
        <c:tickLblPos val="nextTo"/>
        <c:crossAx val="53921585"/>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0"/>
  <c:style val="2"/>
  <c:chart>
    <c:title>
      <c:tx>
        <c:rich>
          <a:bodyPr rot="0"/>
          <a:lstStyle/>
          <a:p>
            <a:pPr>
              <a:defRPr lang="en-US" sz="1400" b="1" strike="noStrike" spc="-1">
                <a:solidFill>
                  <a:srgbClr val="000000"/>
                </a:solidFill>
                <a:latin typeface="Cambria"/>
              </a:defRPr>
            </a:pPr>
            <a:r>
              <a:rPr lang="en-US" sz="1400" b="1" strike="noStrike" spc="-1">
                <a:solidFill>
                  <a:srgbClr val="000000"/>
                </a:solidFill>
                <a:latin typeface="Calibri" panose="020F0502020204030204" pitchFamily="34" charset="0"/>
                <a:cs typeface="Calibri" panose="020F0502020204030204" pitchFamily="34" charset="0"/>
              </a:rPr>
              <a:t>MEDICATION INCIDENT CATEGORY</a:t>
            </a:r>
          </a:p>
        </c:rich>
      </c:tx>
      <c:layout/>
      <c:overlay val="0"/>
      <c:spPr>
        <a:noFill/>
        <a:ln w="0">
          <a:noFill/>
        </a:ln>
      </c:spPr>
    </c:title>
    <c:autoTitleDeleted val="0"/>
    <c:plotArea>
      <c:layout/>
      <c:barChart>
        <c:barDir val="bar"/>
        <c:grouping val="clustered"/>
        <c:varyColors val="0"/>
        <c:ser>
          <c:idx val="0"/>
          <c:order val="0"/>
          <c:tx>
            <c:strRef>
              <c:f>label 0</c:f>
              <c:strCache>
                <c:ptCount val="1"/>
                <c:pt idx="0">
                  <c:v>Series1</c:v>
                </c:pt>
              </c:strCache>
            </c:strRef>
          </c:tx>
          <c:spPr>
            <a:solidFill>
              <a:srgbClr val="AB598E"/>
            </a:solidFill>
            <a:ln w="0">
              <a:noFill/>
            </a:ln>
          </c:spPr>
          <c:invertIfNegative val="0"/>
          <c:dLbls>
            <c:numFmt formatCode="0%" sourceLinked="0"/>
            <c:spPr>
              <a:noFill/>
              <a:ln>
                <a:noFill/>
              </a:ln>
              <a:effectLst/>
            </c:spPr>
            <c:txPr>
              <a:bodyPr wrap="square"/>
              <a:lstStyle/>
              <a:p>
                <a:pPr>
                  <a:defRPr sz="1000" b="1" strike="noStrike" spc="-1">
                    <a:solidFill>
                      <a:srgbClr val="000000"/>
                    </a:solidFill>
                    <a:latin typeface="Cambria"/>
                  </a:defRPr>
                </a:pPr>
                <a:endParaRPr lang="en-US"/>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layout/>
                <c15:showLeaderLines val="1"/>
              </c:ext>
            </c:extLst>
          </c:dLbls>
          <c:cat>
            <c:strRef>
              <c:f>categories</c:f>
              <c:strCache>
                <c:ptCount val="7"/>
                <c:pt idx="0">
                  <c:v>Administration</c:v>
                </c:pt>
                <c:pt idx="1">
                  <c:v>Recording</c:v>
                </c:pt>
                <c:pt idx="2">
                  <c:v>Prescribing</c:v>
                </c:pt>
                <c:pt idx="3">
                  <c:v>Storing</c:v>
                </c:pt>
                <c:pt idx="4">
                  <c:v>Monitoring</c:v>
                </c:pt>
                <c:pt idx="5">
                  <c:v>Dispensing</c:v>
                </c:pt>
                <c:pt idx="6">
                  <c:v>Discrepancy in
liquid stock</c:v>
                </c:pt>
              </c:strCache>
            </c:strRef>
          </c:cat>
          <c:val>
            <c:numRef>
              <c:f>0</c:f>
              <c:numCache>
                <c:formatCode>General</c:formatCode>
                <c:ptCount val="7"/>
                <c:pt idx="0">
                  <c:v>0.38053097345132703</c:v>
                </c:pt>
                <c:pt idx="1">
                  <c:v>0.37168141592920401</c:v>
                </c:pt>
                <c:pt idx="2">
                  <c:v>0.23008849557522101</c:v>
                </c:pt>
                <c:pt idx="3">
                  <c:v>0.16814159292035399</c:v>
                </c:pt>
                <c:pt idx="4">
                  <c:v>0.15044247787610601</c:v>
                </c:pt>
                <c:pt idx="5">
                  <c:v>0.132743362831858</c:v>
                </c:pt>
                <c:pt idx="6">
                  <c:v>8.8495575221238902E-3</c:v>
                </c:pt>
              </c:numCache>
            </c:numRef>
          </c:val>
          <c:extLst>
            <c:ext xmlns:c16="http://schemas.microsoft.com/office/drawing/2014/chart" uri="{C3380CC4-5D6E-409C-BE32-E72D297353CC}">
              <c16:uniqueId val="{00000000-3A01-4EDE-B734-955A6955ACC9}"/>
            </c:ext>
          </c:extLst>
        </c:ser>
        <c:dLbls>
          <c:showLegendKey val="0"/>
          <c:showVal val="0"/>
          <c:showCatName val="0"/>
          <c:showSerName val="0"/>
          <c:showPercent val="0"/>
          <c:showBubbleSize val="0"/>
        </c:dLbls>
        <c:gapWidth val="182"/>
        <c:axId val="66889116"/>
        <c:axId val="68236639"/>
      </c:barChart>
      <c:catAx>
        <c:axId val="66889116"/>
        <c:scaling>
          <c:orientation val="minMax"/>
        </c:scaling>
        <c:delete val="0"/>
        <c:axPos val="l"/>
        <c:majorGridlines>
          <c:spPr>
            <a:ln w="9360">
              <a:solidFill>
                <a:srgbClr val="D9D9D9"/>
              </a:solidFill>
              <a:round/>
            </a:ln>
          </c:spPr>
        </c:majorGridlines>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mbria"/>
              </a:defRPr>
            </a:pPr>
            <a:endParaRPr lang="en-US"/>
          </a:p>
        </c:txPr>
        <c:crossAx val="68236639"/>
        <c:crosses val="autoZero"/>
        <c:auto val="1"/>
        <c:lblAlgn val="ctr"/>
        <c:lblOffset val="100"/>
        <c:noMultiLvlLbl val="0"/>
      </c:catAx>
      <c:valAx>
        <c:axId val="68236639"/>
        <c:scaling>
          <c:orientation val="minMax"/>
        </c:scaling>
        <c:delete val="1"/>
        <c:axPos val="b"/>
        <c:numFmt formatCode="General" sourceLinked="1"/>
        <c:majorTickMark val="none"/>
        <c:minorTickMark val="none"/>
        <c:tickLblPos val="nextTo"/>
        <c:crossAx val="66889116"/>
        <c:crosses val="autoZero"/>
        <c:crossBetween val="between"/>
      </c:valAx>
      <c:spPr>
        <a:no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Total</a:t>
            </a:r>
            <a:r>
              <a:rPr lang="en-GB" baseline="0"/>
              <a:t> I</a:t>
            </a:r>
            <a:r>
              <a:rPr lang="en-GB"/>
              <a:t>ncome</a:t>
            </a:r>
          </a:p>
        </c:rich>
      </c:tx>
      <c:layout>
        <c:manualLayout>
          <c:xMode val="edge"/>
          <c:yMode val="edge"/>
          <c:x val="0.35819677647481957"/>
          <c:y val="3.43053173241852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6299245696431705"/>
          <c:y val="0.29393058286239093"/>
          <c:w val="0.36486470086573353"/>
          <c:h val="0.63808854939444748"/>
        </c:manualLayout>
      </c:layout>
      <c:pieChart>
        <c:varyColors val="1"/>
        <c:ser>
          <c:idx val="0"/>
          <c:order val="0"/>
          <c:tx>
            <c:strRef>
              <c:f>Sheet1!$B$1</c:f>
              <c:strCache>
                <c:ptCount val="1"/>
                <c:pt idx="0">
                  <c:v>Income</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095-4CB6-870B-F94F12E64FC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095-4CB6-870B-F94F12E64FC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095-4CB6-870B-F94F12E64FC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095-4CB6-870B-F94F12E64FC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095-4CB6-870B-F94F12E64FC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Sheet1!$A$2:$A$6</c:f>
              <c:strCache>
                <c:ptCount val="5"/>
                <c:pt idx="0">
                  <c:v>Donations and legacies</c:v>
                </c:pt>
                <c:pt idx="1">
                  <c:v>Charitable activities</c:v>
                </c:pt>
                <c:pt idx="2">
                  <c:v>Other trading activities</c:v>
                </c:pt>
                <c:pt idx="3">
                  <c:v>Investment income</c:v>
                </c:pt>
                <c:pt idx="4">
                  <c:v>Other income</c:v>
                </c:pt>
              </c:strCache>
            </c:strRef>
          </c:cat>
          <c:val>
            <c:numRef>
              <c:f>Sheet1!$B$2:$B$6</c:f>
              <c:numCache>
                <c:formatCode>0.00</c:formatCode>
                <c:ptCount val="5"/>
                <c:pt idx="0">
                  <c:v>0.99885800000000002</c:v>
                </c:pt>
                <c:pt idx="1">
                  <c:v>1.450178</c:v>
                </c:pt>
                <c:pt idx="2">
                  <c:v>2.232218</c:v>
                </c:pt>
                <c:pt idx="3" formatCode="0.0">
                  <c:v>28.018999999999998</c:v>
                </c:pt>
                <c:pt idx="4" formatCode="0.0">
                  <c:v>71.534999999999997</c:v>
                </c:pt>
              </c:numCache>
            </c:numRef>
          </c:val>
          <c:extLst>
            <c:ext xmlns:c16="http://schemas.microsoft.com/office/drawing/2014/chart" uri="{C3380CC4-5D6E-409C-BE32-E72D297353CC}">
              <c16:uniqueId val="{0000000A-0095-4CB6-870B-F94F12E64FC6}"/>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317329343920285"/>
          <c:y val="0.28622983019060871"/>
          <c:w val="0.23167122338874307"/>
          <c:h val="0.4975221847269091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GB" b="1">
                <a:solidFill>
                  <a:schemeClr val="tx1"/>
                </a:solidFill>
              </a:rPr>
              <a:t>CATERING</a:t>
            </a:r>
            <a:r>
              <a:rPr lang="en-GB" b="1" baseline="0">
                <a:solidFill>
                  <a:schemeClr val="tx1"/>
                </a:solidFill>
              </a:rPr>
              <a:t> - N. of Meals</a:t>
            </a:r>
            <a:endParaRPr lang="en-GB" b="1">
              <a:solidFill>
                <a:schemeClr val="tx1"/>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'Meals Data'!$A$13</c:f>
              <c:strCache>
                <c:ptCount val="1"/>
                <c:pt idx="0">
                  <c:v>Patients</c:v>
                </c:pt>
              </c:strCache>
            </c:strRef>
          </c:tx>
          <c:spPr>
            <a:solidFill>
              <a:srgbClr val="7030A0"/>
            </a:solidFill>
            <a:ln>
              <a:noFill/>
            </a:ln>
            <a:effectLst/>
          </c:spPr>
          <c:invertIfNegative val="0"/>
          <c:trendline>
            <c:spPr>
              <a:ln w="19050" cap="rnd">
                <a:solidFill>
                  <a:srgbClr val="7030A0"/>
                </a:solidFill>
                <a:prstDash val="sysDot"/>
              </a:ln>
              <a:effectLst/>
            </c:spPr>
            <c:trendlineType val="poly"/>
            <c:order val="2"/>
            <c:dispRSqr val="0"/>
            <c:dispEq val="0"/>
          </c:trendline>
          <c:cat>
            <c:strRef>
              <c:f>'Meals Data'!$B$12:$E$12</c:f>
              <c:strCache>
                <c:ptCount val="4"/>
                <c:pt idx="0">
                  <c:v>Quarter 1</c:v>
                </c:pt>
                <c:pt idx="1">
                  <c:v>Quarter 2</c:v>
                </c:pt>
                <c:pt idx="2">
                  <c:v>Quarter 3</c:v>
                </c:pt>
                <c:pt idx="3">
                  <c:v>Quarter 4</c:v>
                </c:pt>
              </c:strCache>
            </c:strRef>
          </c:cat>
          <c:val>
            <c:numRef>
              <c:f>'Meals Data'!$B$13:$E$13</c:f>
              <c:numCache>
                <c:formatCode>General</c:formatCode>
                <c:ptCount val="4"/>
                <c:pt idx="0">
                  <c:v>577</c:v>
                </c:pt>
                <c:pt idx="1">
                  <c:v>800</c:v>
                </c:pt>
                <c:pt idx="2">
                  <c:v>671</c:v>
                </c:pt>
                <c:pt idx="3">
                  <c:v>699</c:v>
                </c:pt>
              </c:numCache>
            </c:numRef>
          </c:val>
          <c:extLst>
            <c:ext xmlns:c16="http://schemas.microsoft.com/office/drawing/2014/chart" uri="{C3380CC4-5D6E-409C-BE32-E72D297353CC}">
              <c16:uniqueId val="{00000000-5735-4BA9-B2D1-7C9C44D70845}"/>
            </c:ext>
          </c:extLst>
        </c:ser>
        <c:ser>
          <c:idx val="1"/>
          <c:order val="1"/>
          <c:tx>
            <c:strRef>
              <c:f>'Meals Data'!$A$14</c:f>
              <c:strCache>
                <c:ptCount val="1"/>
                <c:pt idx="0">
                  <c:v>Other (Staff, volunteer, Walk-in etc)</c:v>
                </c:pt>
              </c:strCache>
            </c:strRef>
          </c:tx>
          <c:spPr>
            <a:solidFill>
              <a:srgbClr val="CC99FF"/>
            </a:solidFill>
            <a:ln>
              <a:noFill/>
            </a:ln>
            <a:effectLst/>
          </c:spPr>
          <c:invertIfNegative val="0"/>
          <c:trendline>
            <c:spPr>
              <a:ln w="19050" cap="rnd" cmpd="sng">
                <a:solidFill>
                  <a:srgbClr val="CC99FF"/>
                </a:solidFill>
                <a:prstDash val="sysDot"/>
              </a:ln>
              <a:effectLst/>
            </c:spPr>
            <c:trendlineType val="poly"/>
            <c:order val="2"/>
            <c:dispRSqr val="0"/>
            <c:dispEq val="0"/>
          </c:trendline>
          <c:cat>
            <c:strRef>
              <c:f>'Meals Data'!$B$12:$E$12</c:f>
              <c:strCache>
                <c:ptCount val="4"/>
                <c:pt idx="0">
                  <c:v>Quarter 1</c:v>
                </c:pt>
                <c:pt idx="1">
                  <c:v>Quarter 2</c:v>
                </c:pt>
                <c:pt idx="2">
                  <c:v>Quarter 3</c:v>
                </c:pt>
                <c:pt idx="3">
                  <c:v>Quarter 4</c:v>
                </c:pt>
              </c:strCache>
            </c:strRef>
          </c:cat>
          <c:val>
            <c:numRef>
              <c:f>'Meals Data'!$B$14:$E$14</c:f>
              <c:numCache>
                <c:formatCode>General</c:formatCode>
                <c:ptCount val="4"/>
                <c:pt idx="0">
                  <c:v>854</c:v>
                </c:pt>
                <c:pt idx="1">
                  <c:v>1018</c:v>
                </c:pt>
                <c:pt idx="2">
                  <c:v>1145</c:v>
                </c:pt>
                <c:pt idx="3">
                  <c:v>1176</c:v>
                </c:pt>
              </c:numCache>
            </c:numRef>
          </c:val>
          <c:extLst>
            <c:ext xmlns:c16="http://schemas.microsoft.com/office/drawing/2014/chart" uri="{C3380CC4-5D6E-409C-BE32-E72D297353CC}">
              <c16:uniqueId val="{00000001-5735-4BA9-B2D1-7C9C44D70845}"/>
            </c:ext>
          </c:extLst>
        </c:ser>
        <c:dLbls>
          <c:showLegendKey val="0"/>
          <c:showVal val="0"/>
          <c:showCatName val="0"/>
          <c:showSerName val="0"/>
          <c:showPercent val="0"/>
          <c:showBubbleSize val="0"/>
        </c:dLbls>
        <c:gapWidth val="219"/>
        <c:overlap val="-27"/>
        <c:axId val="508688992"/>
        <c:axId val="508689320"/>
      </c:barChart>
      <c:lineChart>
        <c:grouping val="standard"/>
        <c:varyColors val="0"/>
        <c:ser>
          <c:idx val="2"/>
          <c:order val="2"/>
          <c:tx>
            <c:strRef>
              <c:f>'Meals Data'!$A$15</c:f>
              <c:strCache>
                <c:ptCount val="1"/>
                <c:pt idx="0">
                  <c:v>Total Meals </c:v>
                </c:pt>
              </c:strCache>
            </c:strRef>
          </c:tx>
          <c:spPr>
            <a:ln w="28575" cap="rnd">
              <a:noFill/>
              <a:round/>
            </a:ln>
            <a:effectLst/>
          </c:spPr>
          <c:marker>
            <c:symbol val="none"/>
          </c:marker>
          <c:cat>
            <c:strRef>
              <c:f>'Meals Data'!$B$12:$E$12</c:f>
              <c:strCache>
                <c:ptCount val="4"/>
                <c:pt idx="0">
                  <c:v>Quarter 1</c:v>
                </c:pt>
                <c:pt idx="1">
                  <c:v>Quarter 2</c:v>
                </c:pt>
                <c:pt idx="2">
                  <c:v>Quarter 3</c:v>
                </c:pt>
                <c:pt idx="3">
                  <c:v>Quarter 4</c:v>
                </c:pt>
              </c:strCache>
            </c:strRef>
          </c:cat>
          <c:val>
            <c:numRef>
              <c:f>'Meals Data'!$B$15:$E$15</c:f>
              <c:numCache>
                <c:formatCode>General</c:formatCode>
                <c:ptCount val="4"/>
                <c:pt idx="0">
                  <c:v>1431</c:v>
                </c:pt>
                <c:pt idx="1">
                  <c:v>1818</c:v>
                </c:pt>
                <c:pt idx="2">
                  <c:v>1816</c:v>
                </c:pt>
                <c:pt idx="3">
                  <c:v>1875</c:v>
                </c:pt>
              </c:numCache>
            </c:numRef>
          </c:val>
          <c:smooth val="0"/>
          <c:extLst>
            <c:ext xmlns:c16="http://schemas.microsoft.com/office/drawing/2014/chart" uri="{C3380CC4-5D6E-409C-BE32-E72D297353CC}">
              <c16:uniqueId val="{00000002-5735-4BA9-B2D1-7C9C44D70845}"/>
            </c:ext>
          </c:extLst>
        </c:ser>
        <c:dLbls>
          <c:showLegendKey val="0"/>
          <c:showVal val="0"/>
          <c:showCatName val="0"/>
          <c:showSerName val="0"/>
          <c:showPercent val="0"/>
          <c:showBubbleSize val="0"/>
        </c:dLbls>
        <c:marker val="1"/>
        <c:smooth val="0"/>
        <c:axId val="508688992"/>
        <c:axId val="508689320"/>
      </c:lineChart>
      <c:catAx>
        <c:axId val="508688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8689320"/>
        <c:crosses val="autoZero"/>
        <c:auto val="1"/>
        <c:lblAlgn val="ctr"/>
        <c:lblOffset val="100"/>
        <c:noMultiLvlLbl val="0"/>
      </c:catAx>
      <c:valAx>
        <c:axId val="508689320"/>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086889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E035DF-A0A6-4900-B50F-8C314E7A5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40</Pages>
  <Words>8763</Words>
  <Characters>49954</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dc:description>generated by python-docx</dc:description>
  <cp:lastModifiedBy>Jenny Gallagher</cp:lastModifiedBy>
  <cp:revision>3</cp:revision>
  <dcterms:created xsi:type="dcterms:W3CDTF">2025-12-17T08:21:00Z</dcterms:created>
  <dcterms:modified xsi:type="dcterms:W3CDTF">2025-12-18T14:41:00Z</dcterms:modified>
  <dc:language>en-GB</dc:language>
</cp:coreProperties>
</file>